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16F1" w14:textId="5F4487CD" w:rsidR="00147553" w:rsidRPr="002D2219" w:rsidRDefault="00147553" w:rsidP="00147553">
      <w:pPr>
        <w:pStyle w:val="BasicParagraph"/>
        <w:suppressAutoHyphens/>
        <w:rPr>
          <w:rFonts w:ascii="Calibri" w:hAnsi="Calibri" w:cs="Volte Rounded"/>
          <w:color w:val="auto"/>
          <w:sz w:val="22"/>
          <w:szCs w:val="20"/>
          <w:lang w:val="de-DE"/>
        </w:rPr>
      </w:pPr>
      <w:r w:rsidRPr="002D2219">
        <w:rPr>
          <w:rFonts w:ascii="Calibri" w:hAnsi="Calibri" w:cs="Volte Rounded"/>
          <w:color w:val="auto"/>
          <w:sz w:val="22"/>
          <w:szCs w:val="20"/>
          <w:lang w:val="de-DE"/>
        </w:rPr>
        <w:t>KLASA:</w:t>
      </w:r>
      <w:r w:rsidR="00627856" w:rsidRPr="00627856">
        <w:t xml:space="preserve"> </w:t>
      </w:r>
      <w:r w:rsidR="00627856" w:rsidRPr="00627856">
        <w:rPr>
          <w:rFonts w:ascii="Calibri" w:hAnsi="Calibri" w:cs="Volte Rounded"/>
          <w:color w:val="auto"/>
          <w:sz w:val="22"/>
          <w:szCs w:val="20"/>
          <w:lang w:val="de-DE"/>
        </w:rPr>
        <w:t>644-07/26-01/01</w:t>
      </w:r>
    </w:p>
    <w:p w14:paraId="794703C6" w14:textId="77F1ED04" w:rsidR="00147553" w:rsidRPr="002D2219" w:rsidRDefault="00147553" w:rsidP="00147553">
      <w:pPr>
        <w:pStyle w:val="BasicParagraph"/>
        <w:suppressAutoHyphens/>
        <w:rPr>
          <w:rFonts w:ascii="Calibri" w:hAnsi="Calibri" w:cs="Volte Rounded"/>
          <w:color w:val="auto"/>
          <w:sz w:val="22"/>
          <w:szCs w:val="20"/>
          <w:lang w:val="de-DE"/>
        </w:rPr>
      </w:pPr>
      <w:r w:rsidRPr="002D2219">
        <w:rPr>
          <w:rFonts w:ascii="Calibri" w:hAnsi="Calibri" w:cs="Volte Rounded"/>
          <w:color w:val="auto"/>
          <w:sz w:val="22"/>
          <w:szCs w:val="20"/>
          <w:lang w:val="de-DE"/>
        </w:rPr>
        <w:t>URBROJ:</w:t>
      </w:r>
      <w:r w:rsidR="00627856" w:rsidRPr="00627856">
        <w:t xml:space="preserve"> </w:t>
      </w:r>
      <w:r w:rsidR="00627856" w:rsidRPr="00627856">
        <w:rPr>
          <w:rFonts w:ascii="Calibri" w:hAnsi="Calibri" w:cs="Volte Rounded"/>
          <w:color w:val="auto"/>
          <w:sz w:val="22"/>
          <w:szCs w:val="20"/>
          <w:lang w:val="de-DE"/>
        </w:rPr>
        <w:t>2170-137-004-01-26-1</w:t>
      </w:r>
      <w:bookmarkStart w:id="0" w:name="_GoBack"/>
      <w:bookmarkEnd w:id="0"/>
    </w:p>
    <w:p w14:paraId="3468B62C" w14:textId="77777777" w:rsidR="00147553" w:rsidRPr="002D2219" w:rsidRDefault="00147553" w:rsidP="00147553">
      <w:pPr>
        <w:pStyle w:val="BasicParagraph"/>
        <w:suppressAutoHyphens/>
        <w:rPr>
          <w:rFonts w:ascii="Calibri" w:hAnsi="Calibri" w:cs="Volte Rounded"/>
          <w:color w:val="auto"/>
          <w:sz w:val="22"/>
          <w:szCs w:val="20"/>
          <w:lang w:val="de-DE"/>
        </w:rPr>
      </w:pPr>
      <w:r w:rsidRPr="002D2219">
        <w:rPr>
          <w:rFonts w:ascii="Calibri" w:hAnsi="Calibri" w:cs="Volte Rounded"/>
          <w:color w:val="auto"/>
          <w:sz w:val="22"/>
          <w:szCs w:val="20"/>
          <w:lang w:val="de-DE"/>
        </w:rPr>
        <w:t>Rijeka, 5.2.2026.</w:t>
      </w:r>
    </w:p>
    <w:p w14:paraId="3021778C" w14:textId="77777777" w:rsidR="00147553" w:rsidRPr="002D2219" w:rsidRDefault="00147553" w:rsidP="00147553">
      <w:pPr>
        <w:pStyle w:val="BasicParagraph"/>
        <w:suppressAutoHyphens/>
        <w:rPr>
          <w:rFonts w:ascii="Calibri" w:hAnsi="Calibri" w:cs="Volte Rounded"/>
          <w:color w:val="auto"/>
          <w:sz w:val="22"/>
          <w:szCs w:val="20"/>
          <w:lang w:val="de-DE"/>
        </w:rPr>
      </w:pPr>
    </w:p>
    <w:p w14:paraId="0EF40D3B" w14:textId="77777777" w:rsidR="00147553" w:rsidRPr="002D2219" w:rsidRDefault="00147553" w:rsidP="00147553">
      <w:pPr>
        <w:pStyle w:val="BasicParagraph"/>
        <w:suppressAutoHyphens/>
        <w:rPr>
          <w:rFonts w:ascii="Calibri" w:hAnsi="Calibri" w:cs="Volte Rounded"/>
          <w:color w:val="auto"/>
          <w:sz w:val="22"/>
          <w:szCs w:val="20"/>
          <w:lang w:val="de-DE"/>
        </w:rPr>
      </w:pPr>
    </w:p>
    <w:p w14:paraId="43AC3BF8" w14:textId="77777777" w:rsidR="00147553" w:rsidRPr="002D2219" w:rsidRDefault="00147553" w:rsidP="00147553">
      <w:pPr>
        <w:shd w:val="clear" w:color="auto" w:fill="FFFFFF" w:themeFill="background1"/>
        <w:jc w:val="center"/>
        <w:rPr>
          <w:rFonts w:ascii="Calibri" w:hAnsi="Calibri" w:cs="Tahoma"/>
          <w:sz w:val="20"/>
          <w:szCs w:val="20"/>
        </w:rPr>
      </w:pPr>
      <w:r w:rsidRPr="002D2219">
        <w:rPr>
          <w:rFonts w:ascii="Calibri" w:hAnsi="Calibri" w:cs="Tahoma"/>
          <w:sz w:val="20"/>
          <w:szCs w:val="20"/>
        </w:rPr>
        <w:t>dana 6.2.2026. godine objavljuje</w:t>
      </w:r>
    </w:p>
    <w:p w14:paraId="41856106" w14:textId="77777777" w:rsidR="00147553" w:rsidRPr="002D2219" w:rsidRDefault="00147553" w:rsidP="00147553">
      <w:pPr>
        <w:jc w:val="center"/>
        <w:rPr>
          <w:rFonts w:ascii="Calibri" w:hAnsi="Calibri" w:cs="Tahoma"/>
          <w:b/>
          <w:sz w:val="20"/>
          <w:szCs w:val="20"/>
        </w:rPr>
      </w:pPr>
    </w:p>
    <w:p w14:paraId="34E80B68" w14:textId="77777777" w:rsidR="00147553" w:rsidRPr="002D2219" w:rsidRDefault="00147553" w:rsidP="00147553">
      <w:pPr>
        <w:jc w:val="center"/>
        <w:rPr>
          <w:rFonts w:ascii="Calibri" w:hAnsi="Calibri" w:cs="Tahoma"/>
          <w:b/>
          <w:sz w:val="20"/>
          <w:szCs w:val="20"/>
        </w:rPr>
      </w:pPr>
      <w:r w:rsidRPr="002D2219">
        <w:rPr>
          <w:rFonts w:ascii="Calibri" w:hAnsi="Calibri" w:cs="Tahoma"/>
          <w:b/>
          <w:sz w:val="20"/>
          <w:szCs w:val="20"/>
        </w:rPr>
        <w:t>NATJEČAJ</w:t>
      </w:r>
    </w:p>
    <w:p w14:paraId="450A61A8" w14:textId="77777777" w:rsidR="00147553" w:rsidRPr="002D2219" w:rsidRDefault="00147553" w:rsidP="00147553">
      <w:pPr>
        <w:jc w:val="center"/>
        <w:rPr>
          <w:rFonts w:ascii="Calibri" w:hAnsi="Calibri" w:cs="Tahoma"/>
          <w:b/>
          <w:sz w:val="20"/>
          <w:szCs w:val="20"/>
        </w:rPr>
      </w:pPr>
      <w:r w:rsidRPr="002D2219">
        <w:rPr>
          <w:rFonts w:ascii="Calibri" w:hAnsi="Calibri" w:cs="Tahoma"/>
          <w:b/>
          <w:sz w:val="20"/>
          <w:szCs w:val="20"/>
        </w:rPr>
        <w:t xml:space="preserve">za nastavno osoblje </w:t>
      </w:r>
    </w:p>
    <w:p w14:paraId="3A5151CF" w14:textId="77777777" w:rsidR="00147553" w:rsidRPr="002D2219" w:rsidRDefault="00147553" w:rsidP="00147553">
      <w:pPr>
        <w:jc w:val="center"/>
        <w:rPr>
          <w:rFonts w:ascii="Calibri" w:hAnsi="Calibri" w:cs="Tahoma"/>
          <w:b/>
          <w:sz w:val="20"/>
          <w:szCs w:val="20"/>
        </w:rPr>
      </w:pPr>
      <w:r w:rsidRPr="002D2219">
        <w:rPr>
          <w:rFonts w:ascii="Calibri" w:hAnsi="Calibri" w:cs="Tahoma"/>
          <w:sz w:val="20"/>
          <w:szCs w:val="20"/>
        </w:rPr>
        <w:t xml:space="preserve">za mobilnost u 2024./2027. u okviru </w:t>
      </w:r>
      <w:r w:rsidRPr="002D2219">
        <w:rPr>
          <w:rFonts w:ascii="Calibri" w:hAnsi="Calibri" w:cs="Tahoma"/>
          <w:b/>
          <w:sz w:val="20"/>
          <w:szCs w:val="20"/>
        </w:rPr>
        <w:t>programa</w:t>
      </w:r>
      <w:r w:rsidRPr="002D2219">
        <w:rPr>
          <w:rFonts w:ascii="Calibri" w:hAnsi="Calibri" w:cs="Tahoma"/>
          <w:sz w:val="20"/>
          <w:szCs w:val="20"/>
        </w:rPr>
        <w:t xml:space="preserve"> </w:t>
      </w:r>
      <w:r w:rsidRPr="002D2219">
        <w:rPr>
          <w:rFonts w:ascii="Calibri" w:hAnsi="Calibri" w:cs="Tahoma"/>
          <w:b/>
          <w:sz w:val="20"/>
          <w:szCs w:val="20"/>
        </w:rPr>
        <w:t xml:space="preserve">Erasmus </w:t>
      </w:r>
    </w:p>
    <w:p w14:paraId="5CBC3BA1" w14:textId="77777777" w:rsidR="00147553" w:rsidRPr="002D2219" w:rsidRDefault="00147553" w:rsidP="00147553">
      <w:pPr>
        <w:jc w:val="center"/>
        <w:rPr>
          <w:rFonts w:ascii="Calibri" w:hAnsi="Calibri" w:cs="Tahoma"/>
          <w:b/>
          <w:sz w:val="20"/>
          <w:szCs w:val="20"/>
        </w:rPr>
      </w:pPr>
      <w:r w:rsidRPr="002D2219">
        <w:rPr>
          <w:rFonts w:ascii="Calibri" w:hAnsi="Calibri" w:cs="Tahoma"/>
          <w:sz w:val="20"/>
          <w:szCs w:val="20"/>
        </w:rPr>
        <w:t>(projekt 2024-1-HR01-KA171-HED-000203809)</w:t>
      </w:r>
    </w:p>
    <w:p w14:paraId="3C4869A1" w14:textId="77777777" w:rsidR="00147553" w:rsidRPr="002D2219" w:rsidRDefault="00147553" w:rsidP="00147553">
      <w:pPr>
        <w:jc w:val="both"/>
        <w:rPr>
          <w:rFonts w:ascii="Calibri" w:hAnsi="Calibri" w:cs="Tahoma"/>
          <w:b/>
          <w:sz w:val="20"/>
          <w:szCs w:val="20"/>
        </w:rPr>
      </w:pPr>
    </w:p>
    <w:p w14:paraId="41090CAC"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A Opći uvjeti Natječaja</w:t>
      </w:r>
    </w:p>
    <w:p w14:paraId="1337EB65" w14:textId="77777777" w:rsidR="00147553" w:rsidRPr="002D2219" w:rsidRDefault="00147553" w:rsidP="00147553">
      <w:pPr>
        <w:jc w:val="both"/>
        <w:rPr>
          <w:rFonts w:ascii="Calibri" w:hAnsi="Calibri" w:cs="Tahoma"/>
          <w:sz w:val="20"/>
          <w:szCs w:val="20"/>
        </w:rPr>
      </w:pPr>
    </w:p>
    <w:p w14:paraId="634E2B0D" w14:textId="77777777" w:rsidR="00147553" w:rsidRPr="002D2219" w:rsidRDefault="00147553" w:rsidP="00147553">
      <w:pPr>
        <w:jc w:val="both"/>
        <w:rPr>
          <w:rFonts w:ascii="Calibri" w:hAnsi="Calibri" w:cs="Tahoma"/>
          <w:sz w:val="20"/>
          <w:szCs w:val="20"/>
        </w:rPr>
      </w:pPr>
      <w:r>
        <w:rPr>
          <w:rFonts w:ascii="Calibri" w:hAnsi="Calibri" w:cs="Tahoma"/>
          <w:sz w:val="20"/>
          <w:szCs w:val="20"/>
        </w:rPr>
        <w:t xml:space="preserve">Fakultet informatike i digitalnih tehnologija, </w:t>
      </w:r>
      <w:r w:rsidRPr="002D2219">
        <w:rPr>
          <w:rFonts w:ascii="Calibri" w:hAnsi="Calibri" w:cs="Tahoma"/>
          <w:sz w:val="20"/>
          <w:szCs w:val="20"/>
        </w:rPr>
        <w:t xml:space="preserve">Sveučilište u Rijeci objavljuje Natječaj za izbor nastavnog osoblja </w:t>
      </w:r>
      <w:r>
        <w:rPr>
          <w:rFonts w:ascii="Calibri" w:hAnsi="Calibri" w:cs="Tahoma"/>
          <w:sz w:val="20"/>
          <w:szCs w:val="20"/>
        </w:rPr>
        <w:t xml:space="preserve">Fakulteta informatike i digitalnih tehnologija, </w:t>
      </w:r>
      <w:r w:rsidRPr="002D2219">
        <w:rPr>
          <w:rFonts w:ascii="Calibri" w:hAnsi="Calibri" w:cs="Tahoma"/>
          <w:sz w:val="20"/>
          <w:szCs w:val="20"/>
        </w:rPr>
        <w:t xml:space="preserve">Sveučilišta u Rijeci kojem će se dodijeliti financijska potpora za održavanje nastave/poučavanje odnosno stručno usavršavanje/osposobljavanje u partnerskoj zemlji Kini koja nije pridružena programu, a temeljem ranije uspostavljene suradnje sa China </w:t>
      </w:r>
      <w:proofErr w:type="spellStart"/>
      <w:r w:rsidRPr="002D2219">
        <w:rPr>
          <w:rFonts w:ascii="Calibri" w:hAnsi="Calibri" w:cs="Tahoma"/>
          <w:sz w:val="20"/>
          <w:szCs w:val="20"/>
        </w:rPr>
        <w:t>Agricultural</w:t>
      </w:r>
      <w:proofErr w:type="spellEnd"/>
      <w:r w:rsidRPr="002D2219">
        <w:rPr>
          <w:rFonts w:ascii="Calibri" w:hAnsi="Calibri" w:cs="Tahoma"/>
          <w:sz w:val="20"/>
          <w:szCs w:val="20"/>
        </w:rPr>
        <w:t xml:space="preserve"> University, Peking u okviru Erasmus + projekta KA171 2024 .</w:t>
      </w:r>
    </w:p>
    <w:p w14:paraId="48D675C0" w14:textId="77777777" w:rsidR="00147553" w:rsidRPr="002D2219" w:rsidRDefault="00147553" w:rsidP="00147553">
      <w:pPr>
        <w:jc w:val="both"/>
        <w:rPr>
          <w:rFonts w:ascii="Calibri" w:hAnsi="Calibri" w:cs="Tahoma"/>
          <w:sz w:val="20"/>
          <w:szCs w:val="20"/>
        </w:rPr>
      </w:pPr>
    </w:p>
    <w:p w14:paraId="66703365"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Sveučilištu u Rijeci je u prosincu 2020. godine odobren novi </w:t>
      </w:r>
      <w:proofErr w:type="spellStart"/>
      <w:r w:rsidRPr="002D2219">
        <w:rPr>
          <w:rFonts w:ascii="Calibri" w:hAnsi="Calibri" w:cs="Tahoma"/>
          <w:i/>
          <w:sz w:val="20"/>
          <w:szCs w:val="20"/>
        </w:rPr>
        <w:t>Erasmus</w:t>
      </w:r>
      <w:proofErr w:type="spellEnd"/>
      <w:r w:rsidRPr="002D2219">
        <w:rPr>
          <w:rFonts w:ascii="Calibri" w:hAnsi="Calibri" w:cs="Tahoma"/>
          <w:i/>
          <w:sz w:val="20"/>
          <w:szCs w:val="20"/>
        </w:rPr>
        <w:t xml:space="preserve"> Charter for </w:t>
      </w:r>
      <w:proofErr w:type="spellStart"/>
      <w:r w:rsidRPr="002D2219">
        <w:rPr>
          <w:rFonts w:ascii="Calibri" w:hAnsi="Calibri" w:cs="Tahoma"/>
          <w:i/>
          <w:sz w:val="20"/>
          <w:szCs w:val="20"/>
        </w:rPr>
        <w:t>Higher</w:t>
      </w:r>
      <w:proofErr w:type="spellEnd"/>
      <w:r w:rsidRPr="002D2219">
        <w:rPr>
          <w:rFonts w:ascii="Calibri" w:hAnsi="Calibri" w:cs="Tahoma"/>
          <w:i/>
          <w:sz w:val="20"/>
          <w:szCs w:val="20"/>
        </w:rPr>
        <w:t xml:space="preserve"> </w:t>
      </w:r>
      <w:proofErr w:type="spellStart"/>
      <w:r w:rsidRPr="002D2219">
        <w:rPr>
          <w:rFonts w:ascii="Calibri" w:hAnsi="Calibri" w:cs="Tahoma"/>
          <w:i/>
          <w:sz w:val="20"/>
          <w:szCs w:val="20"/>
        </w:rPr>
        <w:t>Education</w:t>
      </w:r>
      <w:proofErr w:type="spellEnd"/>
      <w:r w:rsidRPr="002D2219">
        <w:rPr>
          <w:rFonts w:ascii="Calibri" w:hAnsi="Calibri" w:cs="Tahoma"/>
          <w:sz w:val="20"/>
          <w:szCs w:val="20"/>
        </w:rPr>
        <w:t>, čime je omogućeno sudjelovanje Sveučilišta u programu Erasmus+ za razdoblje od 2021. do 2027.</w:t>
      </w:r>
    </w:p>
    <w:p w14:paraId="79709210" w14:textId="77777777" w:rsidR="00147553" w:rsidRPr="002D2219" w:rsidRDefault="00147553" w:rsidP="00147553">
      <w:pPr>
        <w:jc w:val="both"/>
        <w:rPr>
          <w:rFonts w:ascii="Calibri" w:hAnsi="Calibri" w:cs="Tahoma"/>
          <w:sz w:val="20"/>
          <w:szCs w:val="20"/>
        </w:rPr>
      </w:pPr>
    </w:p>
    <w:p w14:paraId="6EA070FD"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Broj financijskih potpora koje će Sveučilište u Rijeci dodijeliti nastavnom osoblju ovisi o raspoloživosti sredstava. Kandidati koji se prijave na Natječaj, zadovolje sve uvjete Natječaja, a ne uđu u krug stipendiranih članova osoblja, mogu na razmjenu otići o vlastitom trošku.</w:t>
      </w:r>
    </w:p>
    <w:p w14:paraId="1C1B7972" w14:textId="77777777" w:rsidR="00147553" w:rsidRPr="002D2219" w:rsidRDefault="00147553" w:rsidP="00147553">
      <w:pPr>
        <w:jc w:val="both"/>
        <w:rPr>
          <w:rFonts w:ascii="Calibri" w:hAnsi="Calibri" w:cs="Tahoma"/>
          <w:sz w:val="20"/>
          <w:szCs w:val="20"/>
        </w:rPr>
      </w:pPr>
    </w:p>
    <w:p w14:paraId="650ED4AB"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Nastavno osoblje može se prijaviti za mobilnost u svrhu:</w:t>
      </w:r>
    </w:p>
    <w:p w14:paraId="05017E30" w14:textId="77777777" w:rsidR="00147553" w:rsidRPr="002D2219" w:rsidRDefault="00147553" w:rsidP="00147553">
      <w:pPr>
        <w:numPr>
          <w:ilvl w:val="0"/>
          <w:numId w:val="3"/>
        </w:numPr>
        <w:jc w:val="both"/>
        <w:rPr>
          <w:rFonts w:ascii="Calibri" w:hAnsi="Calibri" w:cs="Tahoma"/>
          <w:sz w:val="20"/>
          <w:szCs w:val="20"/>
        </w:rPr>
      </w:pPr>
      <w:r w:rsidRPr="002D2219">
        <w:rPr>
          <w:rFonts w:ascii="Calibri" w:hAnsi="Calibri" w:cs="Tahoma"/>
          <w:sz w:val="20"/>
          <w:szCs w:val="20"/>
        </w:rPr>
        <w:t>održavanja nastave/podučavanja;</w:t>
      </w:r>
    </w:p>
    <w:p w14:paraId="2552B7A7" w14:textId="77777777" w:rsidR="00147553" w:rsidRPr="002D2219" w:rsidRDefault="00147553" w:rsidP="00147553">
      <w:pPr>
        <w:numPr>
          <w:ilvl w:val="0"/>
          <w:numId w:val="3"/>
        </w:numPr>
        <w:jc w:val="both"/>
        <w:rPr>
          <w:rFonts w:ascii="Calibri" w:hAnsi="Calibri" w:cs="Tahoma"/>
          <w:sz w:val="20"/>
          <w:szCs w:val="20"/>
        </w:rPr>
      </w:pPr>
      <w:r w:rsidRPr="002D2219">
        <w:rPr>
          <w:rFonts w:ascii="Calibri" w:hAnsi="Calibri" w:cs="Tahoma"/>
          <w:sz w:val="20"/>
          <w:szCs w:val="20"/>
        </w:rPr>
        <w:t>stručnog usavršavanja/osposobljavanja;</w:t>
      </w:r>
    </w:p>
    <w:p w14:paraId="715C4EB1" w14:textId="77777777" w:rsidR="00147553" w:rsidRPr="002D2219" w:rsidRDefault="00147553" w:rsidP="00147553">
      <w:pPr>
        <w:numPr>
          <w:ilvl w:val="0"/>
          <w:numId w:val="3"/>
        </w:numPr>
        <w:jc w:val="both"/>
        <w:rPr>
          <w:rFonts w:ascii="Calibri" w:hAnsi="Calibri" w:cs="Tahoma"/>
          <w:sz w:val="20"/>
          <w:szCs w:val="20"/>
        </w:rPr>
      </w:pPr>
      <w:r w:rsidRPr="002D2219">
        <w:rPr>
          <w:rFonts w:ascii="Calibri" w:hAnsi="Calibri" w:cs="Tahoma"/>
          <w:sz w:val="20"/>
          <w:szCs w:val="20"/>
        </w:rPr>
        <w:t>kombinaciju održavanja nastave/podučavanja i stručnog usavršavanja/osposobljavanja.</w:t>
      </w:r>
    </w:p>
    <w:p w14:paraId="7D43D202" w14:textId="77777777" w:rsidR="00147553" w:rsidRPr="002D2219" w:rsidRDefault="00147553" w:rsidP="00147553">
      <w:pPr>
        <w:jc w:val="both"/>
        <w:rPr>
          <w:rFonts w:ascii="Calibri" w:hAnsi="Calibri" w:cs="Tahoma"/>
          <w:sz w:val="20"/>
          <w:szCs w:val="20"/>
        </w:rPr>
      </w:pPr>
    </w:p>
    <w:p w14:paraId="2DDCA4B8"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Aktivnost održavanja nastave/poučavanja omogućava nastavnom osoblju visokog učilišta da poučava na partnerskom visokom učilištu u inozemstvu. Mobilnost osoblja u svrhu poučavanja može se odvijati u bilo kojem području studija / bilo kojoj akademskoj disciplini.</w:t>
      </w:r>
    </w:p>
    <w:p w14:paraId="04A7E26A" w14:textId="77777777" w:rsidR="00147553" w:rsidRPr="002D2219" w:rsidRDefault="00147553" w:rsidP="00147553">
      <w:pPr>
        <w:jc w:val="both"/>
        <w:rPr>
          <w:rFonts w:ascii="Calibri" w:hAnsi="Calibri" w:cs="Tahoma"/>
          <w:sz w:val="20"/>
          <w:szCs w:val="20"/>
        </w:rPr>
      </w:pPr>
    </w:p>
    <w:p w14:paraId="37A5BF7F"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Aktivnost stručnog usavršavanja/osposobljavanja podupire profesionalni razvoj nastavnog visokog učilišta u obliku osposobljavanja u inozemstvu (osim konferencija!) i praćenja rada / hospitiranja / osposobljavanja na partnerskom visokom učilištu ili u drugoj odgovarajućoj organizaciji u inozemstvu. Pri dodjeli sredstava za mobilnost osoblja naglasak će se staviti na razdoblja osposobljavanja za nastavno osoblje visokog učilišta tijekom kojih će moći razvijati svoje pedagoške vještine i vještine stvaranja kurikuluma.</w:t>
      </w:r>
    </w:p>
    <w:p w14:paraId="6CB02D72" w14:textId="77777777" w:rsidR="00147553" w:rsidRPr="002D2219" w:rsidRDefault="00147553" w:rsidP="00147553">
      <w:pPr>
        <w:jc w:val="both"/>
        <w:rPr>
          <w:rFonts w:ascii="Calibri" w:hAnsi="Calibri" w:cs="Tahoma"/>
          <w:sz w:val="20"/>
          <w:szCs w:val="20"/>
        </w:rPr>
      </w:pPr>
    </w:p>
    <w:p w14:paraId="3DCC651A"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Tijekom razdoblja provedenog u inozemstvu mogu se kombinirati aktivnosti poučavanja i osposobljavanja.</w:t>
      </w:r>
    </w:p>
    <w:p w14:paraId="654F657E" w14:textId="77777777" w:rsidR="00147553" w:rsidRPr="002D2219" w:rsidRDefault="00147553" w:rsidP="00147553">
      <w:pPr>
        <w:jc w:val="both"/>
        <w:rPr>
          <w:rFonts w:ascii="Calibri" w:hAnsi="Calibri" w:cs="Tahoma"/>
          <w:sz w:val="20"/>
          <w:szCs w:val="20"/>
        </w:rPr>
      </w:pPr>
    </w:p>
    <w:p w14:paraId="31F584D1"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Mobilnost mora biti organizirana i provedena isključivo u razdoblju </w:t>
      </w:r>
      <w:r w:rsidRPr="002D2219">
        <w:rPr>
          <w:rFonts w:ascii="Calibri" w:hAnsi="Calibri" w:cs="Tahoma"/>
          <w:b/>
          <w:sz w:val="20"/>
          <w:szCs w:val="20"/>
        </w:rPr>
        <w:t>od 1. kolovoza 2024. do 31. srpnja 2027.</w:t>
      </w:r>
      <w:r w:rsidRPr="002D2219">
        <w:rPr>
          <w:rFonts w:ascii="Calibri" w:hAnsi="Calibri" w:cs="Tahoma"/>
          <w:sz w:val="20"/>
          <w:szCs w:val="20"/>
        </w:rPr>
        <w:t xml:space="preserve"> </w:t>
      </w:r>
    </w:p>
    <w:p w14:paraId="32F50AF0" w14:textId="77777777" w:rsidR="00147553" w:rsidRPr="002D2219" w:rsidRDefault="00147553" w:rsidP="00147553">
      <w:pPr>
        <w:jc w:val="both"/>
        <w:rPr>
          <w:rFonts w:ascii="Calibri" w:hAnsi="Calibri" w:cs="Tahoma"/>
          <w:color w:val="FF0000"/>
          <w:sz w:val="20"/>
          <w:szCs w:val="20"/>
        </w:rPr>
      </w:pPr>
    </w:p>
    <w:p w14:paraId="7DB157D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Standardna (fizička) mobilnost osoblja u svrhu održavanja nastave i u svrhu stručnog usavršavanja može trajati (isključujući dane provedene na putu) najkraće 5 dana, a najdulje 2 mjeseca. Nadalje, moguća je i </w:t>
      </w:r>
      <w:proofErr w:type="spellStart"/>
      <w:r w:rsidRPr="002D2219">
        <w:rPr>
          <w:rFonts w:ascii="Calibri" w:hAnsi="Calibri" w:cs="Tahoma"/>
          <w:i/>
          <w:sz w:val="20"/>
          <w:szCs w:val="20"/>
        </w:rPr>
        <w:t>blended</w:t>
      </w:r>
      <w:proofErr w:type="spellEnd"/>
      <w:r w:rsidRPr="002D2219">
        <w:rPr>
          <w:rFonts w:ascii="Calibri" w:hAnsi="Calibri" w:cs="Tahoma"/>
          <w:sz w:val="20"/>
          <w:szCs w:val="20"/>
        </w:rPr>
        <w:t xml:space="preserve"> mobilnosti, odnosno kombinacija fizičke i virtualne mobilnosti. Format podrazumijeva kratkoročnu fizičku mobilnost kombiniranu s online učenjem odnosno s obaveznom virtualnom komponentnom prije, tijekom i/ili nakon fizičkog dijela mobilnosti. Fizički dio mora trajati od 5 do 30 dana.</w:t>
      </w:r>
    </w:p>
    <w:p w14:paraId="1783342A" w14:textId="77777777" w:rsidR="00147553" w:rsidRPr="002D2219" w:rsidRDefault="00147553" w:rsidP="00147553">
      <w:pPr>
        <w:jc w:val="both"/>
        <w:rPr>
          <w:rFonts w:ascii="Calibri" w:hAnsi="Calibri" w:cs="Tahoma"/>
          <w:sz w:val="20"/>
          <w:szCs w:val="20"/>
        </w:rPr>
      </w:pPr>
    </w:p>
    <w:p w14:paraId="1F74E22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u w:val="single"/>
        </w:rPr>
        <w:t>Održavanje nastave/poučavanje</w:t>
      </w:r>
      <w:r w:rsidRPr="002D2219">
        <w:rPr>
          <w:rFonts w:ascii="Calibri" w:hAnsi="Calibri" w:cs="Tahoma"/>
          <w:sz w:val="20"/>
          <w:szCs w:val="20"/>
        </w:rPr>
        <w:t xml:space="preserve"> mora obuhvaćati </w:t>
      </w:r>
      <w:r w:rsidRPr="002D2219">
        <w:rPr>
          <w:rFonts w:ascii="Calibri" w:hAnsi="Calibri" w:cs="Tahoma"/>
          <w:sz w:val="20"/>
          <w:szCs w:val="20"/>
          <w:u w:val="single"/>
        </w:rPr>
        <w:t>najmanje 8 sati poučavanja tjedno</w:t>
      </w:r>
      <w:r w:rsidRPr="002D2219">
        <w:rPr>
          <w:rFonts w:ascii="Calibri" w:hAnsi="Calibri" w:cs="Tahoma"/>
          <w:sz w:val="20"/>
          <w:szCs w:val="20"/>
        </w:rPr>
        <w:t xml:space="preserve"> (ili bilo koje kraće razdoblje boravka). Ako se </w:t>
      </w:r>
      <w:r w:rsidRPr="002D2219">
        <w:rPr>
          <w:rFonts w:ascii="Calibri" w:hAnsi="Calibri" w:cs="Tahoma"/>
          <w:sz w:val="20"/>
          <w:szCs w:val="20"/>
          <w:u w:val="single"/>
        </w:rPr>
        <w:t>održavanje nastave/poučavanje kombinira sa stručnim usavršavanjem/osposobljavanjem</w:t>
      </w:r>
      <w:r w:rsidRPr="002D2219">
        <w:rPr>
          <w:rFonts w:ascii="Calibri" w:hAnsi="Calibri" w:cs="Tahoma"/>
          <w:sz w:val="20"/>
          <w:szCs w:val="20"/>
        </w:rPr>
        <w:t xml:space="preserve"> tijekom jednog razdoblja u inozemstvu, </w:t>
      </w:r>
      <w:r w:rsidRPr="002D2219">
        <w:rPr>
          <w:rFonts w:ascii="Calibri" w:hAnsi="Calibri" w:cs="Tahoma"/>
          <w:sz w:val="20"/>
          <w:szCs w:val="20"/>
          <w:u w:val="single"/>
        </w:rPr>
        <w:t>najmanji broj sati poučavanja tjedno</w:t>
      </w:r>
      <w:r w:rsidRPr="002D2219">
        <w:rPr>
          <w:rFonts w:ascii="Calibri" w:hAnsi="Calibri" w:cs="Tahoma"/>
          <w:sz w:val="20"/>
          <w:szCs w:val="20"/>
        </w:rPr>
        <w:t xml:space="preserve"> (ili bilo koje kraće razdoblje boravka) </w:t>
      </w:r>
      <w:r w:rsidRPr="002D2219">
        <w:rPr>
          <w:rFonts w:ascii="Calibri" w:hAnsi="Calibri" w:cs="Tahoma"/>
          <w:sz w:val="20"/>
          <w:szCs w:val="20"/>
          <w:u w:val="single"/>
        </w:rPr>
        <w:t>smanjuje se na 4 sata</w:t>
      </w:r>
      <w:r w:rsidRPr="002D2219">
        <w:rPr>
          <w:rFonts w:ascii="Calibri" w:hAnsi="Calibri" w:cs="Tahoma"/>
          <w:sz w:val="20"/>
          <w:szCs w:val="20"/>
        </w:rPr>
        <w:t>. Ako mobilnost traje duže od jednog tjedna, najmanji broj sati nastave u nepunom tjednu mora biti proporcionalan trajanju tog tjedna.</w:t>
      </w:r>
    </w:p>
    <w:p w14:paraId="62141900" w14:textId="77777777" w:rsidR="00147553" w:rsidRPr="002D2219" w:rsidRDefault="00147553" w:rsidP="00147553">
      <w:pPr>
        <w:spacing w:line="276" w:lineRule="auto"/>
        <w:rPr>
          <w:rFonts w:ascii="Calibri" w:hAnsi="Calibri"/>
          <w:sz w:val="20"/>
          <w:szCs w:val="20"/>
        </w:rPr>
      </w:pPr>
    </w:p>
    <w:p w14:paraId="38100F5C" w14:textId="77777777" w:rsidR="00147553" w:rsidRPr="002D2219" w:rsidRDefault="00147553" w:rsidP="00147553">
      <w:pPr>
        <w:spacing w:line="276" w:lineRule="auto"/>
        <w:jc w:val="both"/>
        <w:rPr>
          <w:rFonts w:ascii="Calibri" w:hAnsi="Calibri" w:cs="Tahoma"/>
          <w:sz w:val="20"/>
          <w:szCs w:val="20"/>
        </w:rPr>
      </w:pPr>
      <w:r w:rsidRPr="002D2219">
        <w:rPr>
          <w:rFonts w:ascii="Calibri" w:hAnsi="Calibri" w:cs="Tahoma"/>
          <w:sz w:val="20"/>
          <w:szCs w:val="20"/>
        </w:rPr>
        <w:t xml:space="preserve">Svaki kandidat/kandidatkinja dužan je sam kontaktirati nastavnike/djelatnike odgovarajućih zavoda/katedri/odjela/ureda pri inozemnim ustanovama te dogovoriti plan i način rada, kao i vrijeme te trajanje boravka. </w:t>
      </w:r>
    </w:p>
    <w:p w14:paraId="5B2A07A6" w14:textId="77777777" w:rsidR="00147553" w:rsidRPr="002D2219" w:rsidRDefault="00147553" w:rsidP="00147553">
      <w:pPr>
        <w:jc w:val="both"/>
        <w:rPr>
          <w:rFonts w:ascii="Calibri" w:hAnsi="Calibri" w:cs="Tahoma"/>
          <w:sz w:val="20"/>
          <w:szCs w:val="20"/>
        </w:rPr>
      </w:pPr>
    </w:p>
    <w:p w14:paraId="7674533A"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Detaljnije informacije o Erasmusu mogu se pronaći na mrežnim stranicama Agencije za mobilnost i programe EU (</w:t>
      </w:r>
      <w:hyperlink r:id="rId11" w:history="1">
        <w:r w:rsidRPr="002D2219">
          <w:rPr>
            <w:rStyle w:val="Hiperveza"/>
            <w:rFonts w:ascii="Calibri" w:hAnsi="Calibri" w:cs="Tahoma"/>
            <w:sz w:val="20"/>
            <w:szCs w:val="20"/>
          </w:rPr>
          <w:t>www.mobilnost.hr</w:t>
        </w:r>
      </w:hyperlink>
      <w:r w:rsidRPr="002D2219">
        <w:rPr>
          <w:rFonts w:ascii="Calibri" w:hAnsi="Calibri" w:cs="Tahoma"/>
          <w:sz w:val="20"/>
          <w:szCs w:val="20"/>
        </w:rPr>
        <w:t>) ili u rubrici Međunarodna suradnja i Erasmus na mrežnim stranicama Sveučilišta u</w:t>
      </w:r>
      <w:r w:rsidRPr="002D2219">
        <w:rPr>
          <w:rFonts w:ascii="Calibri" w:hAnsi="Calibri" w:cs="Tahoma"/>
          <w:color w:val="FF0000"/>
          <w:sz w:val="20"/>
          <w:szCs w:val="20"/>
        </w:rPr>
        <w:t xml:space="preserve"> </w:t>
      </w:r>
      <w:r w:rsidRPr="002D2219">
        <w:rPr>
          <w:rFonts w:ascii="Calibri" w:hAnsi="Calibri" w:cs="Tahoma"/>
          <w:sz w:val="20"/>
          <w:szCs w:val="20"/>
        </w:rPr>
        <w:t>Rijeci (</w:t>
      </w:r>
      <w:hyperlink r:id="rId12" w:history="1">
        <w:r w:rsidRPr="002D2219">
          <w:rPr>
            <w:rStyle w:val="Hiperveza"/>
            <w:rFonts w:ascii="Calibri" w:hAnsi="Calibri" w:cs="Tahoma"/>
            <w:sz w:val="20"/>
            <w:szCs w:val="20"/>
          </w:rPr>
          <w:t>www.uniri.hr</w:t>
        </w:r>
      </w:hyperlink>
      <w:r w:rsidRPr="002D2219">
        <w:rPr>
          <w:rFonts w:ascii="Calibri" w:hAnsi="Calibri" w:cs="Tahoma"/>
          <w:sz w:val="20"/>
          <w:szCs w:val="20"/>
        </w:rPr>
        <w:t xml:space="preserve">). </w:t>
      </w:r>
    </w:p>
    <w:p w14:paraId="67A9D5CC" w14:textId="77777777" w:rsidR="00147553" w:rsidRPr="002D2219" w:rsidRDefault="00147553" w:rsidP="00147553">
      <w:pPr>
        <w:jc w:val="both"/>
        <w:rPr>
          <w:rFonts w:ascii="Calibri" w:hAnsi="Calibri" w:cs="Tahoma"/>
          <w:sz w:val="20"/>
          <w:szCs w:val="20"/>
        </w:rPr>
      </w:pPr>
    </w:p>
    <w:p w14:paraId="797BEB84" w14:textId="77777777" w:rsidR="00147553" w:rsidRPr="002D2219" w:rsidRDefault="00147553" w:rsidP="00147553">
      <w:pPr>
        <w:jc w:val="both"/>
        <w:rPr>
          <w:rFonts w:ascii="Calibri" w:hAnsi="Calibri" w:cs="Tahoma"/>
          <w:sz w:val="20"/>
          <w:szCs w:val="20"/>
        </w:rPr>
      </w:pPr>
    </w:p>
    <w:p w14:paraId="22072330"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B Uvjeti za pristup</w:t>
      </w:r>
    </w:p>
    <w:p w14:paraId="06DDA236" w14:textId="77777777" w:rsidR="00147553" w:rsidRPr="002D2219" w:rsidRDefault="00147553" w:rsidP="00147553">
      <w:pPr>
        <w:jc w:val="both"/>
        <w:rPr>
          <w:rFonts w:ascii="Calibri" w:hAnsi="Calibri" w:cs="Tahoma"/>
          <w:sz w:val="20"/>
          <w:szCs w:val="20"/>
        </w:rPr>
      </w:pPr>
    </w:p>
    <w:p w14:paraId="7FA4A6D0"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Kandidati/kandidatkinje moraju zadovoljavati sljedeće uvjete:</w:t>
      </w:r>
    </w:p>
    <w:p w14:paraId="6AA0786A" w14:textId="77777777" w:rsidR="00147553" w:rsidRPr="002D2219" w:rsidRDefault="00147553" w:rsidP="00147553">
      <w:pPr>
        <w:numPr>
          <w:ilvl w:val="0"/>
          <w:numId w:val="1"/>
        </w:numPr>
        <w:jc w:val="both"/>
        <w:rPr>
          <w:rFonts w:ascii="Calibri" w:hAnsi="Calibri" w:cs="Tahoma"/>
          <w:sz w:val="20"/>
          <w:szCs w:val="20"/>
        </w:rPr>
      </w:pPr>
      <w:r w:rsidRPr="002D2219">
        <w:rPr>
          <w:rFonts w:ascii="Calibri" w:hAnsi="Calibri" w:cs="Tahoma"/>
          <w:sz w:val="20"/>
          <w:szCs w:val="20"/>
        </w:rPr>
        <w:t xml:space="preserve">Biti članovi nastavnog (osobe u znanstveno-nastavnim </w:t>
      </w:r>
      <w:r>
        <w:rPr>
          <w:rFonts w:ascii="Calibri" w:hAnsi="Calibri" w:cs="Tahoma"/>
          <w:sz w:val="20"/>
          <w:szCs w:val="20"/>
        </w:rPr>
        <w:t xml:space="preserve">i nastavnim </w:t>
      </w:r>
      <w:r w:rsidRPr="002D2219">
        <w:rPr>
          <w:rFonts w:ascii="Calibri" w:hAnsi="Calibri" w:cs="Tahoma"/>
          <w:sz w:val="20"/>
          <w:szCs w:val="20"/>
        </w:rPr>
        <w:t>zvanjima te u suradničkim zvanjima asistenata kao i znanstveni novaci koji su uključeni u izvedbu nastave) Sveučilišta u Rijeci;</w:t>
      </w:r>
    </w:p>
    <w:p w14:paraId="29386848" w14:textId="77777777" w:rsidR="00147553" w:rsidRPr="002D2219" w:rsidRDefault="00147553" w:rsidP="00147553">
      <w:pPr>
        <w:numPr>
          <w:ilvl w:val="0"/>
          <w:numId w:val="1"/>
        </w:numPr>
        <w:jc w:val="both"/>
        <w:rPr>
          <w:rFonts w:ascii="Calibri" w:hAnsi="Calibri" w:cs="Tahoma"/>
          <w:sz w:val="20"/>
          <w:szCs w:val="20"/>
        </w:rPr>
      </w:pPr>
      <w:r w:rsidRPr="002D2219">
        <w:rPr>
          <w:rFonts w:ascii="Calibri" w:hAnsi="Calibri" w:cs="Tahoma"/>
          <w:sz w:val="20"/>
          <w:szCs w:val="20"/>
        </w:rPr>
        <w:t>Imati zadovoljavajuće znanje stranog jezika na kojem će održavati nastavu/stručno se usavršavati.</w:t>
      </w:r>
    </w:p>
    <w:p w14:paraId="7405499A" w14:textId="77777777" w:rsidR="00147553" w:rsidRPr="002D2219" w:rsidRDefault="00147553" w:rsidP="00147553">
      <w:pPr>
        <w:jc w:val="both"/>
        <w:rPr>
          <w:rFonts w:ascii="Calibri" w:hAnsi="Calibri" w:cs="Tahoma"/>
          <w:sz w:val="20"/>
          <w:szCs w:val="20"/>
        </w:rPr>
      </w:pPr>
    </w:p>
    <w:p w14:paraId="09E582AC" w14:textId="77777777" w:rsidR="00147553" w:rsidRPr="002D2219" w:rsidRDefault="00147553" w:rsidP="00147553">
      <w:pPr>
        <w:jc w:val="both"/>
        <w:rPr>
          <w:rFonts w:ascii="Calibri" w:hAnsi="Calibri" w:cs="Tahoma"/>
          <w:sz w:val="20"/>
          <w:szCs w:val="20"/>
        </w:rPr>
      </w:pPr>
    </w:p>
    <w:p w14:paraId="44D2BF59"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C Kriteriji za izbor kandidata/kandidatkinja</w:t>
      </w:r>
    </w:p>
    <w:p w14:paraId="6403A261" w14:textId="77777777" w:rsidR="00147553" w:rsidRPr="002D2219" w:rsidRDefault="00147553" w:rsidP="00147553">
      <w:pPr>
        <w:jc w:val="both"/>
        <w:rPr>
          <w:rFonts w:ascii="Calibri" w:hAnsi="Calibri" w:cs="Tahoma"/>
          <w:sz w:val="20"/>
          <w:szCs w:val="20"/>
        </w:rPr>
      </w:pPr>
    </w:p>
    <w:p w14:paraId="7A795666" w14:textId="77777777" w:rsidR="00147553" w:rsidRPr="00514150" w:rsidRDefault="00147553" w:rsidP="00147553">
      <w:pPr>
        <w:jc w:val="both"/>
        <w:rPr>
          <w:rFonts w:ascii="Calibri" w:hAnsi="Calibri" w:cs="Tahoma"/>
          <w:sz w:val="20"/>
          <w:szCs w:val="20"/>
        </w:rPr>
      </w:pPr>
      <w:r w:rsidRPr="00514150">
        <w:rPr>
          <w:rFonts w:ascii="Calibri" w:hAnsi="Calibri" w:cs="Tahoma"/>
          <w:sz w:val="20"/>
          <w:szCs w:val="20"/>
        </w:rPr>
        <w:t xml:space="preserve">Cilj </w:t>
      </w:r>
      <w:r>
        <w:rPr>
          <w:rFonts w:ascii="Calibri" w:hAnsi="Calibri" w:cs="Tahoma"/>
          <w:sz w:val="20"/>
          <w:szCs w:val="20"/>
        </w:rPr>
        <w:t>mobilnosti je</w:t>
      </w:r>
      <w:r w:rsidRPr="00514150">
        <w:rPr>
          <w:rFonts w:ascii="Calibri" w:hAnsi="Calibri" w:cs="Tahoma"/>
          <w:sz w:val="20"/>
          <w:szCs w:val="20"/>
        </w:rPr>
        <w:t xml:space="preserve"> proširiti mrežu u području primjene napredne ICT tehnologije u lancu opskrbe, s fokusom na </w:t>
      </w:r>
      <w:proofErr w:type="spellStart"/>
      <w:r w:rsidRPr="00514150">
        <w:rPr>
          <w:rFonts w:ascii="Calibri" w:hAnsi="Calibri" w:cs="Tahoma"/>
          <w:sz w:val="20"/>
          <w:szCs w:val="20"/>
        </w:rPr>
        <w:t>biosenzorima</w:t>
      </w:r>
      <w:proofErr w:type="spellEnd"/>
      <w:r w:rsidRPr="00514150">
        <w:rPr>
          <w:rFonts w:ascii="Calibri" w:hAnsi="Calibri" w:cs="Tahoma"/>
          <w:sz w:val="20"/>
          <w:szCs w:val="20"/>
        </w:rPr>
        <w:t xml:space="preserve">, fleksibilnim senzorima i inteligentnim tehnologijama obrade podataka za kontrolu kvalitete i praćenje u lancu opskrbe. Moderna ICT se smatra ključnim alatom za podizanje otpornosti poljoprivrednih i prehrambenih sustava. </w:t>
      </w:r>
    </w:p>
    <w:p w14:paraId="1BF48E3A" w14:textId="77777777" w:rsidR="00147553" w:rsidRDefault="00147553" w:rsidP="00147553">
      <w:pPr>
        <w:jc w:val="both"/>
        <w:rPr>
          <w:rFonts w:ascii="Calibri" w:hAnsi="Calibri" w:cs="Tahoma"/>
          <w:sz w:val="20"/>
          <w:szCs w:val="20"/>
        </w:rPr>
      </w:pPr>
    </w:p>
    <w:p w14:paraId="100114A0" w14:textId="77777777" w:rsidR="00147553" w:rsidRPr="002D2219" w:rsidRDefault="00147553" w:rsidP="00147553">
      <w:pPr>
        <w:numPr>
          <w:ilvl w:val="0"/>
          <w:numId w:val="2"/>
        </w:numPr>
        <w:jc w:val="both"/>
        <w:rPr>
          <w:rFonts w:ascii="Calibri" w:hAnsi="Calibri" w:cs="Tahoma"/>
          <w:sz w:val="20"/>
          <w:szCs w:val="20"/>
        </w:rPr>
      </w:pPr>
      <w:r w:rsidRPr="002D2219">
        <w:rPr>
          <w:rFonts w:ascii="Calibri" w:hAnsi="Calibri" w:cs="Tahoma"/>
          <w:sz w:val="20"/>
          <w:szCs w:val="20"/>
        </w:rPr>
        <w:t>Uredna i pravovremena prijava (dostavljena kompletna Natječajem zatražena dokumentacija)</w:t>
      </w:r>
      <w:r>
        <w:rPr>
          <w:rFonts w:ascii="Calibri" w:hAnsi="Calibri" w:cs="Tahoma"/>
          <w:sz w:val="20"/>
          <w:szCs w:val="20"/>
        </w:rPr>
        <w:t>;</w:t>
      </w:r>
    </w:p>
    <w:p w14:paraId="1480F187" w14:textId="77777777" w:rsidR="00147553" w:rsidRPr="002D2219" w:rsidRDefault="00147553" w:rsidP="00147553">
      <w:pPr>
        <w:numPr>
          <w:ilvl w:val="0"/>
          <w:numId w:val="2"/>
        </w:numPr>
        <w:jc w:val="both"/>
        <w:rPr>
          <w:rFonts w:ascii="Calibri" w:hAnsi="Calibri" w:cs="Tahoma"/>
          <w:sz w:val="20"/>
          <w:szCs w:val="20"/>
        </w:rPr>
      </w:pPr>
      <w:r w:rsidRPr="002D2219">
        <w:rPr>
          <w:rFonts w:ascii="Calibri" w:hAnsi="Calibri" w:cs="Tahoma"/>
          <w:sz w:val="20"/>
          <w:szCs w:val="20"/>
        </w:rPr>
        <w:t>Kvaliteta i usklađenost plana rada s aktivnostima predviđenim u projektnoj prijavi;</w:t>
      </w:r>
    </w:p>
    <w:p w14:paraId="31BE92BF" w14:textId="77777777" w:rsidR="00147553" w:rsidRPr="002D2219" w:rsidRDefault="00147553" w:rsidP="00147553">
      <w:pPr>
        <w:numPr>
          <w:ilvl w:val="0"/>
          <w:numId w:val="2"/>
        </w:numPr>
        <w:jc w:val="both"/>
        <w:rPr>
          <w:rFonts w:ascii="Calibri" w:hAnsi="Calibri" w:cs="Tahoma"/>
          <w:sz w:val="20"/>
          <w:szCs w:val="20"/>
        </w:rPr>
      </w:pPr>
      <w:r w:rsidRPr="002D2219">
        <w:rPr>
          <w:rFonts w:ascii="Calibri" w:hAnsi="Calibri" w:cs="Tahoma"/>
          <w:sz w:val="20"/>
          <w:szCs w:val="20"/>
        </w:rPr>
        <w:t xml:space="preserve">Znanje </w:t>
      </w:r>
      <w:r w:rsidRPr="002D2219">
        <w:rPr>
          <w:rFonts w:ascii="Calibri" w:hAnsi="Calibri" w:cs="Tahoma"/>
          <w:color w:val="000000"/>
          <w:sz w:val="20"/>
          <w:szCs w:val="20"/>
        </w:rPr>
        <w:t>j</w:t>
      </w:r>
      <w:r w:rsidRPr="002D2219">
        <w:rPr>
          <w:rFonts w:ascii="Calibri" w:hAnsi="Calibri" w:cs="Tahoma"/>
          <w:sz w:val="20"/>
          <w:szCs w:val="20"/>
        </w:rPr>
        <w:t>ezika stručnog usavršavanja odnosno jezika na kojem će se izvoditi nastava;</w:t>
      </w:r>
    </w:p>
    <w:p w14:paraId="771086E5" w14:textId="77777777" w:rsidR="00147553" w:rsidRDefault="00147553" w:rsidP="00147553">
      <w:pPr>
        <w:numPr>
          <w:ilvl w:val="0"/>
          <w:numId w:val="2"/>
        </w:numPr>
        <w:jc w:val="both"/>
        <w:rPr>
          <w:rFonts w:ascii="Calibri" w:hAnsi="Calibri" w:cs="Tahoma"/>
          <w:sz w:val="20"/>
          <w:szCs w:val="20"/>
        </w:rPr>
      </w:pPr>
      <w:r w:rsidRPr="002D2219">
        <w:rPr>
          <w:rFonts w:ascii="Calibri" w:hAnsi="Calibri" w:cs="Tahoma"/>
          <w:sz w:val="20"/>
          <w:szCs w:val="20"/>
        </w:rPr>
        <w:t>Prednost će se dati kandidatima/kandidatkinjama koji do sada nisu sudjelovali u Erasmus programu.</w:t>
      </w:r>
    </w:p>
    <w:p w14:paraId="5013F368" w14:textId="77777777" w:rsidR="00147553" w:rsidRPr="002D2219" w:rsidRDefault="00147553" w:rsidP="00147553">
      <w:pPr>
        <w:jc w:val="both"/>
        <w:rPr>
          <w:rFonts w:ascii="Calibri" w:hAnsi="Calibri" w:cs="Tahoma"/>
          <w:sz w:val="20"/>
          <w:szCs w:val="20"/>
        </w:rPr>
      </w:pPr>
    </w:p>
    <w:p w14:paraId="286DAC22" w14:textId="77777777" w:rsidR="00147553" w:rsidRPr="002D2219" w:rsidRDefault="00147553" w:rsidP="00147553">
      <w:pPr>
        <w:ind w:left="708"/>
        <w:jc w:val="both"/>
        <w:rPr>
          <w:rFonts w:ascii="Calibri" w:hAnsi="Calibri" w:cs="Tahoma"/>
          <w:sz w:val="20"/>
          <w:szCs w:val="20"/>
        </w:rPr>
      </w:pPr>
    </w:p>
    <w:p w14:paraId="1271558B"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D Postupak prijave</w:t>
      </w:r>
    </w:p>
    <w:p w14:paraId="20EB6A06" w14:textId="77777777" w:rsidR="00147553" w:rsidRPr="002D2219" w:rsidRDefault="00147553" w:rsidP="00147553">
      <w:pPr>
        <w:jc w:val="both"/>
        <w:rPr>
          <w:rFonts w:ascii="Calibri" w:hAnsi="Calibri" w:cs="Tahoma"/>
          <w:sz w:val="20"/>
          <w:szCs w:val="20"/>
        </w:rPr>
      </w:pPr>
    </w:p>
    <w:p w14:paraId="024F285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Kandidat koji se prijavljuje na natječaj obvezan je poslati</w:t>
      </w:r>
      <w:r>
        <w:rPr>
          <w:rFonts w:ascii="Calibri" w:hAnsi="Calibri" w:cs="Tahoma"/>
          <w:sz w:val="20"/>
          <w:szCs w:val="20"/>
        </w:rPr>
        <w:t xml:space="preserve"> natječajnu</w:t>
      </w:r>
      <w:r w:rsidRPr="002D2219">
        <w:rPr>
          <w:rFonts w:ascii="Calibri" w:hAnsi="Calibri" w:cs="Tahoma"/>
          <w:sz w:val="20"/>
          <w:szCs w:val="20"/>
        </w:rPr>
        <w:t xml:space="preserve"> </w:t>
      </w:r>
      <w:r>
        <w:rPr>
          <w:rFonts w:ascii="Calibri" w:hAnsi="Calibri" w:cs="Tahoma"/>
          <w:sz w:val="20"/>
          <w:szCs w:val="20"/>
        </w:rPr>
        <w:t>dokumentaciju</w:t>
      </w:r>
      <w:r w:rsidRPr="002D2219">
        <w:rPr>
          <w:rFonts w:ascii="Calibri" w:hAnsi="Calibri" w:cs="Tahoma"/>
          <w:sz w:val="20"/>
          <w:szCs w:val="20"/>
        </w:rPr>
        <w:t xml:space="preserve"> na adresu </w:t>
      </w:r>
      <w:hyperlink r:id="rId13" w:history="1">
        <w:r w:rsidRPr="002D2219">
          <w:rPr>
            <w:rStyle w:val="Hiperveza"/>
            <w:rFonts w:ascii="Calibri" w:hAnsi="Calibri" w:cs="Tahoma"/>
            <w:sz w:val="20"/>
            <w:szCs w:val="20"/>
          </w:rPr>
          <w:t>erasmus@inf.uniri.hr</w:t>
        </w:r>
      </w:hyperlink>
      <w:r w:rsidRPr="002D2219">
        <w:rPr>
          <w:rFonts w:ascii="Calibri" w:hAnsi="Calibri" w:cs="Tahoma"/>
          <w:sz w:val="20"/>
          <w:szCs w:val="20"/>
        </w:rPr>
        <w:t xml:space="preserve"> s naznakom „Natječaj KA171“.</w:t>
      </w:r>
    </w:p>
    <w:p w14:paraId="31CA97D9" w14:textId="77777777" w:rsidR="00147553" w:rsidRPr="002D2219" w:rsidRDefault="00147553" w:rsidP="00147553">
      <w:pPr>
        <w:jc w:val="both"/>
        <w:rPr>
          <w:rFonts w:ascii="Calibri" w:hAnsi="Calibri" w:cs="Tahoma"/>
          <w:sz w:val="20"/>
          <w:szCs w:val="20"/>
        </w:rPr>
      </w:pPr>
    </w:p>
    <w:p w14:paraId="4430334E"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Natječaj će biti otvoren </w:t>
      </w:r>
      <w:r w:rsidRPr="002D2219">
        <w:rPr>
          <w:rFonts w:ascii="Calibri" w:hAnsi="Calibri" w:cs="Tahoma"/>
          <w:b/>
          <w:sz w:val="20"/>
          <w:szCs w:val="20"/>
        </w:rPr>
        <w:t xml:space="preserve">do </w:t>
      </w:r>
      <w:r>
        <w:rPr>
          <w:rFonts w:ascii="Calibri" w:hAnsi="Calibri" w:cs="Tahoma"/>
          <w:b/>
          <w:sz w:val="20"/>
          <w:szCs w:val="20"/>
        </w:rPr>
        <w:t>1</w:t>
      </w:r>
      <w:r w:rsidRPr="002D2219">
        <w:rPr>
          <w:rFonts w:ascii="Calibri" w:hAnsi="Calibri" w:cs="Tahoma"/>
          <w:b/>
          <w:sz w:val="20"/>
          <w:szCs w:val="20"/>
        </w:rPr>
        <w:t>.</w:t>
      </w:r>
      <w:r>
        <w:rPr>
          <w:rFonts w:ascii="Calibri" w:hAnsi="Calibri" w:cs="Tahoma"/>
          <w:b/>
          <w:sz w:val="20"/>
          <w:szCs w:val="20"/>
        </w:rPr>
        <w:t>3</w:t>
      </w:r>
      <w:r w:rsidRPr="002D2219">
        <w:rPr>
          <w:rFonts w:ascii="Calibri" w:hAnsi="Calibri" w:cs="Tahoma"/>
          <w:b/>
          <w:sz w:val="20"/>
          <w:szCs w:val="20"/>
        </w:rPr>
        <w:t>.2026. godine</w:t>
      </w:r>
      <w:r w:rsidRPr="002D2219">
        <w:rPr>
          <w:rFonts w:ascii="Calibri" w:hAnsi="Calibri" w:cs="Tahoma"/>
          <w:sz w:val="20"/>
          <w:szCs w:val="20"/>
        </w:rPr>
        <w:t xml:space="preserve">. </w:t>
      </w:r>
    </w:p>
    <w:p w14:paraId="082D0F28" w14:textId="77777777" w:rsidR="00147553" w:rsidRPr="002D2219" w:rsidRDefault="00147553" w:rsidP="00147553">
      <w:pPr>
        <w:jc w:val="both"/>
        <w:rPr>
          <w:rFonts w:ascii="Calibri" w:hAnsi="Calibri" w:cs="Tahoma"/>
          <w:sz w:val="20"/>
          <w:szCs w:val="20"/>
        </w:rPr>
      </w:pPr>
    </w:p>
    <w:p w14:paraId="43AB208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Sveučilište u Rijeci će sa kandidatima koji udovoljavaju uvjetima natječaja po potvrdi ERASMUS koordinatora sklapati ugovore o dodjeli financijske potpore. Nepotpune i nepravodobno podnesene prijave neće se razmatrati.</w:t>
      </w:r>
    </w:p>
    <w:p w14:paraId="170B1729" w14:textId="77777777" w:rsidR="00147553" w:rsidRPr="002D2219" w:rsidRDefault="00147553" w:rsidP="00147553">
      <w:pPr>
        <w:pStyle w:val="Default"/>
        <w:jc w:val="both"/>
        <w:rPr>
          <w:rFonts w:cs="Tahoma"/>
          <w:color w:val="auto"/>
          <w:sz w:val="20"/>
          <w:szCs w:val="20"/>
          <w:lang w:val="hr-HR"/>
        </w:rPr>
      </w:pPr>
    </w:p>
    <w:p w14:paraId="1F844402" w14:textId="77777777" w:rsidR="00147553" w:rsidRPr="002D2219" w:rsidRDefault="00147553" w:rsidP="00147553">
      <w:pPr>
        <w:pStyle w:val="Default"/>
        <w:jc w:val="both"/>
        <w:rPr>
          <w:rFonts w:cs="Tahoma"/>
          <w:sz w:val="20"/>
          <w:szCs w:val="20"/>
          <w:lang w:val="hr-HR"/>
        </w:rPr>
      </w:pPr>
      <w:r w:rsidRPr="002D2219">
        <w:rPr>
          <w:rFonts w:cs="Tahoma"/>
          <w:color w:val="auto"/>
          <w:sz w:val="20"/>
          <w:szCs w:val="20"/>
          <w:lang w:val="hr-HR"/>
        </w:rPr>
        <w:t>Obzirom na proceduru sklapanja ugovora o dodjeli financijske potpore, kandidati su dužni prijaviti se na natječaj najmanje 30 dana prije početka mobilnosti. Također, kandidati su nakon podnošenja prijave dužni o istom izvijestiti Centar za međunarodnu mobilnost (</w:t>
      </w:r>
      <w:hyperlink r:id="rId14" w:history="1">
        <w:r w:rsidRPr="002D2219">
          <w:rPr>
            <w:rStyle w:val="Hiperveza"/>
            <w:rFonts w:cs="Tahoma"/>
            <w:sz w:val="20"/>
            <w:szCs w:val="20"/>
            <w:lang w:val="hr-HR"/>
          </w:rPr>
          <w:t>international@uniri.hr</w:t>
        </w:r>
      </w:hyperlink>
      <w:r w:rsidRPr="002D2219">
        <w:rPr>
          <w:rFonts w:cs="Tahoma"/>
          <w:color w:val="auto"/>
          <w:sz w:val="20"/>
          <w:szCs w:val="20"/>
          <w:lang w:val="hr-HR"/>
        </w:rPr>
        <w:t xml:space="preserve">). </w:t>
      </w:r>
    </w:p>
    <w:p w14:paraId="3031B879" w14:textId="77777777" w:rsidR="00147553" w:rsidRPr="002D2219" w:rsidRDefault="00147553" w:rsidP="00147553">
      <w:pPr>
        <w:jc w:val="both"/>
        <w:rPr>
          <w:rFonts w:ascii="Calibri" w:hAnsi="Calibri" w:cs="Tahoma"/>
          <w:sz w:val="20"/>
          <w:szCs w:val="20"/>
        </w:rPr>
      </w:pPr>
    </w:p>
    <w:p w14:paraId="7E7ED930" w14:textId="77777777" w:rsidR="00147553" w:rsidRPr="002D2219" w:rsidRDefault="00147553" w:rsidP="00147553">
      <w:pPr>
        <w:ind w:left="705" w:hanging="345"/>
        <w:jc w:val="both"/>
        <w:rPr>
          <w:rFonts w:ascii="Calibri" w:hAnsi="Calibri" w:cs="Tahoma"/>
          <w:sz w:val="20"/>
          <w:szCs w:val="20"/>
        </w:rPr>
      </w:pPr>
    </w:p>
    <w:p w14:paraId="635F0178"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E Postupak izbora kandidata/kandidatkinja</w:t>
      </w:r>
    </w:p>
    <w:p w14:paraId="4EC83C53" w14:textId="77777777" w:rsidR="00147553" w:rsidRPr="002D2219" w:rsidRDefault="00147553" w:rsidP="00147553">
      <w:pPr>
        <w:jc w:val="both"/>
        <w:rPr>
          <w:rFonts w:ascii="Calibri" w:hAnsi="Calibri" w:cs="Tahoma"/>
          <w:sz w:val="20"/>
          <w:szCs w:val="20"/>
        </w:rPr>
      </w:pPr>
    </w:p>
    <w:p w14:paraId="72BF0CEC"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Postupak izbora odvija se u tri kruga:</w:t>
      </w:r>
    </w:p>
    <w:p w14:paraId="265FB298"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1. krug - administrativna provjera prijava;</w:t>
      </w:r>
    </w:p>
    <w:p w14:paraId="40534A9C"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2. krug - evaluacija nastavnog plana/plana rada;</w:t>
      </w:r>
    </w:p>
    <w:p w14:paraId="566210E5" w14:textId="77777777" w:rsidR="00147553" w:rsidRPr="002D2219" w:rsidRDefault="00147553" w:rsidP="00147553">
      <w:pPr>
        <w:rPr>
          <w:rFonts w:ascii="Calibri" w:hAnsi="Calibri" w:cs="Tahoma"/>
          <w:sz w:val="20"/>
          <w:szCs w:val="20"/>
        </w:rPr>
      </w:pPr>
      <w:r w:rsidRPr="002D2219">
        <w:rPr>
          <w:rFonts w:ascii="Calibri" w:hAnsi="Calibri" w:cs="Tahoma"/>
          <w:sz w:val="20"/>
          <w:szCs w:val="20"/>
        </w:rPr>
        <w:t>3. krug - izbor kandidata/kandidatkinja za mobilnost.</w:t>
      </w:r>
    </w:p>
    <w:p w14:paraId="0B2F1350" w14:textId="77777777" w:rsidR="00147553" w:rsidRPr="002D2219" w:rsidRDefault="00147553" w:rsidP="00147553">
      <w:pPr>
        <w:jc w:val="both"/>
        <w:rPr>
          <w:rFonts w:ascii="Calibri" w:hAnsi="Calibri" w:cs="Tahoma"/>
          <w:sz w:val="20"/>
          <w:szCs w:val="20"/>
        </w:rPr>
      </w:pPr>
    </w:p>
    <w:p w14:paraId="280489AE" w14:textId="77777777" w:rsidR="00147553" w:rsidRPr="002D2219" w:rsidRDefault="00147553" w:rsidP="00147553">
      <w:pPr>
        <w:jc w:val="both"/>
        <w:rPr>
          <w:rFonts w:ascii="Calibri" w:hAnsi="Calibri" w:cs="Tahoma"/>
          <w:sz w:val="20"/>
          <w:szCs w:val="20"/>
        </w:rPr>
      </w:pPr>
    </w:p>
    <w:p w14:paraId="512292BB"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F Objava rezultata Natječaja</w:t>
      </w:r>
    </w:p>
    <w:p w14:paraId="3663E474" w14:textId="77777777" w:rsidR="00147553" w:rsidRPr="002D2219" w:rsidRDefault="00147553" w:rsidP="00147553">
      <w:pPr>
        <w:jc w:val="both"/>
        <w:rPr>
          <w:rStyle w:val="Naglaeno"/>
          <w:rFonts w:ascii="Calibri" w:hAnsi="Calibri" w:cs="Tahoma"/>
          <w:b w:val="0"/>
          <w:sz w:val="20"/>
          <w:szCs w:val="20"/>
        </w:rPr>
      </w:pPr>
    </w:p>
    <w:p w14:paraId="31400BC9" w14:textId="77777777" w:rsidR="00147553" w:rsidRPr="002D2219" w:rsidRDefault="00147553" w:rsidP="00147553">
      <w:pPr>
        <w:jc w:val="both"/>
        <w:rPr>
          <w:rFonts w:ascii="Calibri" w:hAnsi="Calibri" w:cs="Tahoma"/>
          <w:sz w:val="20"/>
          <w:szCs w:val="20"/>
        </w:rPr>
      </w:pPr>
      <w:r w:rsidRPr="002D2219">
        <w:rPr>
          <w:rStyle w:val="Naglaeno"/>
          <w:rFonts w:ascii="Calibri" w:hAnsi="Calibri" w:cs="Tahoma"/>
          <w:sz w:val="20"/>
          <w:szCs w:val="20"/>
        </w:rPr>
        <w:t xml:space="preserve">Konačni rezultati Natječaja </w:t>
      </w:r>
      <w:r w:rsidRPr="002D2219">
        <w:rPr>
          <w:rFonts w:ascii="Calibri" w:hAnsi="Calibri" w:cs="Tahoma"/>
          <w:sz w:val="20"/>
          <w:szCs w:val="20"/>
        </w:rPr>
        <w:t>objavit će se na mrežnim stranicama Fakulteta informatike i digitalnih tehnologija</w:t>
      </w:r>
      <w:r w:rsidRPr="002D2219">
        <w:rPr>
          <w:rFonts w:ascii="Calibri" w:hAnsi="Calibri" w:cs="Tahoma"/>
          <w:color w:val="FF0000"/>
          <w:sz w:val="20"/>
          <w:szCs w:val="20"/>
        </w:rPr>
        <w:t xml:space="preserve"> </w:t>
      </w:r>
      <w:r w:rsidRPr="002D2219">
        <w:rPr>
          <w:rFonts w:ascii="Calibri" w:hAnsi="Calibri" w:cs="Tahoma"/>
          <w:sz w:val="20"/>
          <w:szCs w:val="20"/>
        </w:rPr>
        <w:t>(</w:t>
      </w:r>
      <w:hyperlink r:id="rId15" w:history="1">
        <w:r w:rsidRPr="002D2219">
          <w:rPr>
            <w:rStyle w:val="Hiperveza"/>
            <w:rFonts w:ascii="Calibri" w:hAnsi="Calibri" w:cs="Tahoma"/>
            <w:sz w:val="20"/>
            <w:szCs w:val="20"/>
          </w:rPr>
          <w:t>www.inf.uniri.hr</w:t>
        </w:r>
      </w:hyperlink>
      <w:r w:rsidRPr="002D2219">
        <w:rPr>
          <w:rFonts w:ascii="Calibri" w:hAnsi="Calibri" w:cs="Tahoma"/>
          <w:sz w:val="20"/>
          <w:szCs w:val="20"/>
        </w:rPr>
        <w:t xml:space="preserve">). </w:t>
      </w:r>
    </w:p>
    <w:p w14:paraId="0110E91A" w14:textId="77777777" w:rsidR="00147553" w:rsidRPr="002D2219" w:rsidRDefault="00147553" w:rsidP="00147553">
      <w:pPr>
        <w:jc w:val="both"/>
        <w:rPr>
          <w:rFonts w:ascii="Calibri" w:hAnsi="Calibri" w:cs="Tahoma"/>
          <w:color w:val="FF0000"/>
          <w:sz w:val="20"/>
          <w:szCs w:val="20"/>
        </w:rPr>
      </w:pPr>
    </w:p>
    <w:p w14:paraId="00CB3E1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Odbijeni kandidati/kandidatkinje bit će o razlozima odbijanja obaviješteni pismenim putem.</w:t>
      </w:r>
    </w:p>
    <w:p w14:paraId="10191827" w14:textId="77777777" w:rsidR="00147553" w:rsidRPr="002D2219" w:rsidRDefault="00147553" w:rsidP="00147553">
      <w:pPr>
        <w:jc w:val="both"/>
        <w:rPr>
          <w:rFonts w:ascii="Calibri" w:hAnsi="Calibri" w:cs="Tahoma"/>
          <w:sz w:val="20"/>
          <w:szCs w:val="20"/>
        </w:rPr>
      </w:pPr>
    </w:p>
    <w:p w14:paraId="2DC04674"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Prijavom na Natječaj kandidati/kandidatkinje pristaju da se njihovo ime objavi na popisu izabranih/odbijenih kandidata ili na listi čekanja.</w:t>
      </w:r>
    </w:p>
    <w:p w14:paraId="445B96C3" w14:textId="77777777" w:rsidR="00147553" w:rsidRPr="002D2219" w:rsidRDefault="00147553" w:rsidP="00147553">
      <w:pPr>
        <w:jc w:val="both"/>
        <w:rPr>
          <w:rFonts w:ascii="Calibri" w:hAnsi="Calibri" w:cs="Tahoma"/>
          <w:sz w:val="20"/>
          <w:szCs w:val="20"/>
        </w:rPr>
      </w:pPr>
    </w:p>
    <w:p w14:paraId="08B38508" w14:textId="77777777" w:rsidR="00147553" w:rsidRPr="002D2219" w:rsidRDefault="00147553" w:rsidP="00147553">
      <w:pPr>
        <w:jc w:val="both"/>
        <w:rPr>
          <w:rFonts w:ascii="Calibri" w:hAnsi="Calibri" w:cs="Tahoma"/>
          <w:sz w:val="20"/>
          <w:szCs w:val="20"/>
        </w:rPr>
      </w:pPr>
    </w:p>
    <w:p w14:paraId="6A0338F4"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G Financijska potpora</w:t>
      </w:r>
    </w:p>
    <w:p w14:paraId="18ACD98F" w14:textId="77777777" w:rsidR="00147553" w:rsidRPr="002D2219" w:rsidRDefault="00147553" w:rsidP="00147553">
      <w:pPr>
        <w:autoSpaceDE w:val="0"/>
        <w:autoSpaceDN w:val="0"/>
        <w:adjustRightInd w:val="0"/>
        <w:rPr>
          <w:rFonts w:ascii="Calibri" w:hAnsi="Calibri" w:cs="Tahoma"/>
          <w:sz w:val="20"/>
          <w:szCs w:val="20"/>
        </w:rPr>
      </w:pPr>
    </w:p>
    <w:p w14:paraId="3A231286"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Za izračun financijske potpore za svaku pojedinačnu osobu uzimaju se u obzir troškovi života i putni troškovi određeni od strane Europske komisije.</w:t>
      </w:r>
    </w:p>
    <w:p w14:paraId="6E8A74C5" w14:textId="77777777" w:rsidR="00147553" w:rsidRPr="002D2219" w:rsidRDefault="00147553" w:rsidP="00147553">
      <w:pPr>
        <w:autoSpaceDE w:val="0"/>
        <w:autoSpaceDN w:val="0"/>
        <w:adjustRightInd w:val="0"/>
        <w:jc w:val="both"/>
        <w:rPr>
          <w:rFonts w:ascii="Calibri" w:hAnsi="Calibri" w:cs="Tahoma"/>
          <w:sz w:val="20"/>
          <w:szCs w:val="20"/>
        </w:rPr>
      </w:pPr>
    </w:p>
    <w:p w14:paraId="50AE9E74"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 xml:space="preserve">Iznos sredstava za životne troškove dodjeljuje se za svaki dan u kojem se izvodi ugovorena aktivnost i za dva dana provedena na putu: 1 dan puta izravno prije prvog dana aktivnosti i 1 dan puta izravno nakon zadnjeg dana aktivnosti. Iznos pojedinačne potpore (iznos u EUR po danu): </w:t>
      </w:r>
    </w:p>
    <w:p w14:paraId="5601AFC4"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 xml:space="preserve">- 1. do 14. dan aktivnosti – 190,00 EUR </w:t>
      </w:r>
    </w:p>
    <w:p w14:paraId="19C0D410"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 Između 15. i 60. dana aktivnosti: 70% od jediničnog iznosa pojedinačne potpore.</w:t>
      </w:r>
    </w:p>
    <w:p w14:paraId="159425D5" w14:textId="77777777" w:rsidR="00147553" w:rsidRPr="002D2219" w:rsidRDefault="00147553" w:rsidP="00147553">
      <w:pPr>
        <w:autoSpaceDE w:val="0"/>
        <w:autoSpaceDN w:val="0"/>
        <w:adjustRightInd w:val="0"/>
        <w:rPr>
          <w:rFonts w:ascii="Calibri" w:hAnsi="Calibri" w:cs="Tahoma"/>
          <w:sz w:val="20"/>
          <w:szCs w:val="20"/>
        </w:rPr>
      </w:pPr>
    </w:p>
    <w:p w14:paraId="6F7C22CF"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PUTNI TROŠKOVI I POTICAJ ZA KORIŠTENJE ZELENOG NAČINA PUTOVANJA</w:t>
      </w:r>
    </w:p>
    <w:p w14:paraId="08505584"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Osoblje koji koristi </w:t>
      </w:r>
      <w:r w:rsidRPr="002D2219">
        <w:rPr>
          <w:rFonts w:ascii="Calibri" w:hAnsi="Calibri" w:cs="Tahoma"/>
          <w:color w:val="00B050"/>
          <w:sz w:val="20"/>
          <w:szCs w:val="20"/>
        </w:rPr>
        <w:t xml:space="preserve">zeleni način putovanja tzv. </w:t>
      </w:r>
      <w:proofErr w:type="spellStart"/>
      <w:r w:rsidRPr="002D2219">
        <w:rPr>
          <w:rFonts w:ascii="Calibri" w:hAnsi="Calibri" w:cs="Tahoma"/>
          <w:i/>
          <w:color w:val="00B050"/>
          <w:sz w:val="20"/>
          <w:szCs w:val="20"/>
        </w:rPr>
        <w:t>green</w:t>
      </w:r>
      <w:proofErr w:type="spellEnd"/>
      <w:r w:rsidRPr="002D2219">
        <w:rPr>
          <w:rFonts w:ascii="Calibri" w:hAnsi="Calibri" w:cs="Tahoma"/>
          <w:i/>
          <w:color w:val="00B050"/>
          <w:sz w:val="20"/>
          <w:szCs w:val="20"/>
        </w:rPr>
        <w:t xml:space="preserve"> </w:t>
      </w:r>
      <w:proofErr w:type="spellStart"/>
      <w:r w:rsidRPr="002D2219">
        <w:rPr>
          <w:rFonts w:ascii="Calibri" w:hAnsi="Calibri" w:cs="Tahoma"/>
          <w:i/>
          <w:color w:val="00B050"/>
          <w:sz w:val="20"/>
          <w:szCs w:val="20"/>
        </w:rPr>
        <w:t>travel</w:t>
      </w:r>
      <w:proofErr w:type="spellEnd"/>
      <w:r w:rsidRPr="002D2219">
        <w:rPr>
          <w:color w:val="00B050"/>
        </w:rPr>
        <w:t xml:space="preserve"> </w:t>
      </w:r>
      <w:r w:rsidRPr="002D2219">
        <w:rPr>
          <w:rFonts w:ascii="Calibri" w:hAnsi="Calibri" w:cs="Tahoma"/>
          <w:sz w:val="20"/>
          <w:szCs w:val="20"/>
        </w:rPr>
        <w:t xml:space="preserve">(vlak, autobus, bicikl, </w:t>
      </w:r>
      <w:r w:rsidRPr="002D2219">
        <w:rPr>
          <w:rFonts w:ascii="Calibri" w:hAnsi="Calibri" w:cs="Tahoma"/>
          <w:i/>
          <w:sz w:val="20"/>
          <w:szCs w:val="20"/>
        </w:rPr>
        <w:t xml:space="preserve">car </w:t>
      </w:r>
      <w:proofErr w:type="spellStart"/>
      <w:r w:rsidRPr="002D2219">
        <w:rPr>
          <w:rFonts w:ascii="Calibri" w:hAnsi="Calibri" w:cs="Tahoma"/>
          <w:i/>
          <w:sz w:val="20"/>
          <w:szCs w:val="20"/>
        </w:rPr>
        <w:t>pooling</w:t>
      </w:r>
      <w:proofErr w:type="spellEnd"/>
      <w:r w:rsidRPr="002D2219">
        <w:rPr>
          <w:rFonts w:ascii="Calibri" w:hAnsi="Calibri" w:cs="Tahoma"/>
          <w:sz w:val="20"/>
          <w:szCs w:val="20"/>
        </w:rPr>
        <w:t>) ima pravo na uvećani iznos financijske potpore za putovanje. U trenutku sklapanja ugovora o dodjeli financijske potpore sa Sveučilištem u Rijeci, definirat će se opcija zelenog načina putovanja te će sudionici biti obaviješteni o dokaznoj dokumentaciji koju trebaju priložiti u svrhu dokazivanja spomenutog načina putovanja.</w:t>
      </w:r>
    </w:p>
    <w:p w14:paraId="0CED553D" w14:textId="77777777" w:rsidR="00147553" w:rsidRPr="002D2219" w:rsidRDefault="00147553" w:rsidP="00147553">
      <w:pPr>
        <w:pStyle w:val="Default"/>
        <w:rPr>
          <w:rFonts w:cs="Tahoma"/>
          <w:color w:val="auto"/>
          <w:sz w:val="20"/>
          <w:szCs w:val="20"/>
          <w:lang w:val="hr-HR"/>
        </w:rPr>
      </w:pPr>
    </w:p>
    <w:p w14:paraId="07EBC60D" w14:textId="77777777" w:rsidR="00147553" w:rsidRPr="002D2219" w:rsidRDefault="00147553" w:rsidP="00147553">
      <w:pPr>
        <w:pStyle w:val="Default"/>
        <w:jc w:val="both"/>
        <w:rPr>
          <w:rFonts w:cs="Tahoma"/>
          <w:color w:val="auto"/>
          <w:sz w:val="20"/>
          <w:szCs w:val="20"/>
          <w:lang w:val="hr-HR"/>
        </w:rPr>
      </w:pPr>
      <w:r w:rsidRPr="002D2219">
        <w:rPr>
          <w:rFonts w:cs="Tahoma"/>
          <w:color w:val="auto"/>
          <w:sz w:val="20"/>
          <w:szCs w:val="20"/>
          <w:lang w:val="hr-HR"/>
        </w:rPr>
        <w:t xml:space="preserve">Jedinični iznos putnih troškova ovisi o udaljenosti destinacije, te o korištenju opcije zelenog načina putovanja (tablica u nastavku). </w:t>
      </w:r>
    </w:p>
    <w:p w14:paraId="7B199FBC" w14:textId="77777777" w:rsidR="00147553" w:rsidRPr="002D2219" w:rsidRDefault="00147553" w:rsidP="00147553">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3405"/>
        <w:gridCol w:w="2183"/>
      </w:tblGrid>
      <w:tr w:rsidR="00147553" w:rsidRPr="002D2219" w14:paraId="580DDBCF" w14:textId="77777777" w:rsidTr="00444E8A">
        <w:trPr>
          <w:trHeight w:val="140"/>
          <w:jc w:val="center"/>
        </w:trPr>
        <w:tc>
          <w:tcPr>
            <w:tcW w:w="2794" w:type="dxa"/>
            <w:shd w:val="clear" w:color="auto" w:fill="00B0F0"/>
          </w:tcPr>
          <w:p w14:paraId="2111E649"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
                <w:bCs/>
                <w:color w:val="000000"/>
                <w:sz w:val="22"/>
                <w:szCs w:val="22"/>
              </w:rPr>
              <w:t>Raspon u km</w:t>
            </w:r>
          </w:p>
        </w:tc>
        <w:tc>
          <w:tcPr>
            <w:tcW w:w="3405" w:type="dxa"/>
            <w:shd w:val="clear" w:color="auto" w:fill="00B0F0"/>
          </w:tcPr>
          <w:p w14:paraId="46BC4314" w14:textId="77777777" w:rsidR="00147553" w:rsidRPr="002D2219" w:rsidRDefault="00147553" w:rsidP="00444E8A">
            <w:pPr>
              <w:autoSpaceDE w:val="0"/>
              <w:autoSpaceDN w:val="0"/>
              <w:adjustRightInd w:val="0"/>
              <w:rPr>
                <w:rFonts w:ascii="Calibri" w:hAnsi="Calibri" w:cs="Calibri"/>
                <w:b/>
                <w:bCs/>
                <w:color w:val="000000"/>
                <w:sz w:val="22"/>
                <w:szCs w:val="22"/>
              </w:rPr>
            </w:pPr>
            <w:r w:rsidRPr="002D2219">
              <w:rPr>
                <w:rFonts w:ascii="Calibri" w:hAnsi="Calibri" w:cs="Calibri"/>
                <w:b/>
                <w:bCs/>
                <w:color w:val="000000"/>
                <w:sz w:val="22"/>
                <w:szCs w:val="22"/>
              </w:rPr>
              <w:t>Jedinični iznos</w:t>
            </w:r>
          </w:p>
          <w:p w14:paraId="3F6637D3"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
                <w:bCs/>
                <w:color w:val="000000"/>
                <w:sz w:val="22"/>
                <w:szCs w:val="22"/>
              </w:rPr>
              <w:t>(uključuje i povratno putovanje!)</w:t>
            </w:r>
          </w:p>
        </w:tc>
        <w:tc>
          <w:tcPr>
            <w:tcW w:w="2183" w:type="dxa"/>
          </w:tcPr>
          <w:p w14:paraId="4F786029" w14:textId="77777777" w:rsidR="00147553" w:rsidRPr="002D2219" w:rsidRDefault="00147553" w:rsidP="00444E8A">
            <w:pPr>
              <w:autoSpaceDE w:val="0"/>
              <w:autoSpaceDN w:val="0"/>
              <w:adjustRightInd w:val="0"/>
              <w:rPr>
                <w:rFonts w:ascii="Calibri" w:hAnsi="Calibri" w:cs="Calibri"/>
                <w:i/>
                <w:color w:val="00B050"/>
                <w:sz w:val="22"/>
                <w:szCs w:val="22"/>
              </w:rPr>
            </w:pPr>
            <w:r w:rsidRPr="002D2219">
              <w:rPr>
                <w:rFonts w:ascii="Calibri" w:hAnsi="Calibri" w:cs="Calibri"/>
                <w:b/>
                <w:bCs/>
                <w:i/>
                <w:color w:val="00B050"/>
                <w:sz w:val="22"/>
                <w:szCs w:val="22"/>
              </w:rPr>
              <w:t xml:space="preserve">Green </w:t>
            </w:r>
            <w:proofErr w:type="spellStart"/>
            <w:r w:rsidRPr="002D2219">
              <w:rPr>
                <w:rFonts w:ascii="Calibri" w:hAnsi="Calibri" w:cs="Calibri"/>
                <w:b/>
                <w:bCs/>
                <w:i/>
                <w:color w:val="00B050"/>
                <w:sz w:val="22"/>
                <w:szCs w:val="22"/>
              </w:rPr>
              <w:t>travel</w:t>
            </w:r>
            <w:proofErr w:type="spellEnd"/>
          </w:p>
        </w:tc>
      </w:tr>
      <w:tr w:rsidR="00147553" w:rsidRPr="002D2219" w14:paraId="6B43FACA" w14:textId="77777777" w:rsidTr="00444E8A">
        <w:trPr>
          <w:trHeight w:val="140"/>
          <w:jc w:val="center"/>
        </w:trPr>
        <w:tc>
          <w:tcPr>
            <w:tcW w:w="2794" w:type="dxa"/>
          </w:tcPr>
          <w:p w14:paraId="26B68904"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10 – 99 km</w:t>
            </w:r>
          </w:p>
        </w:tc>
        <w:tc>
          <w:tcPr>
            <w:tcW w:w="3405" w:type="dxa"/>
            <w:tcBorders>
              <w:top w:val="single" w:sz="4" w:space="0" w:color="auto"/>
              <w:left w:val="single" w:sz="4" w:space="0" w:color="auto"/>
              <w:bottom w:val="single" w:sz="4" w:space="0" w:color="auto"/>
              <w:right w:val="single" w:sz="4" w:space="0" w:color="auto"/>
            </w:tcBorders>
          </w:tcPr>
          <w:p w14:paraId="43B318BF"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28 €</w:t>
            </w:r>
          </w:p>
        </w:tc>
        <w:tc>
          <w:tcPr>
            <w:tcW w:w="2183" w:type="dxa"/>
            <w:tcBorders>
              <w:top w:val="single" w:sz="4" w:space="0" w:color="auto"/>
              <w:left w:val="single" w:sz="4" w:space="0" w:color="auto"/>
              <w:bottom w:val="single" w:sz="4" w:space="0" w:color="auto"/>
              <w:right w:val="single" w:sz="4" w:space="0" w:color="auto"/>
            </w:tcBorders>
          </w:tcPr>
          <w:p w14:paraId="48C93D5D"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56 €</w:t>
            </w:r>
          </w:p>
        </w:tc>
      </w:tr>
      <w:tr w:rsidR="00147553" w:rsidRPr="002D2219" w14:paraId="6E2DE06E" w14:textId="77777777" w:rsidTr="00444E8A">
        <w:trPr>
          <w:trHeight w:val="140"/>
          <w:jc w:val="center"/>
        </w:trPr>
        <w:tc>
          <w:tcPr>
            <w:tcW w:w="2794" w:type="dxa"/>
          </w:tcPr>
          <w:p w14:paraId="29F907B4"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100 – 499 km</w:t>
            </w:r>
          </w:p>
        </w:tc>
        <w:tc>
          <w:tcPr>
            <w:tcW w:w="3405" w:type="dxa"/>
            <w:tcBorders>
              <w:top w:val="single" w:sz="4" w:space="0" w:color="auto"/>
              <w:left w:val="single" w:sz="4" w:space="0" w:color="auto"/>
              <w:bottom w:val="single" w:sz="4" w:space="0" w:color="auto"/>
              <w:right w:val="single" w:sz="4" w:space="0" w:color="auto"/>
            </w:tcBorders>
          </w:tcPr>
          <w:p w14:paraId="51A942A8"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 xml:space="preserve">211 € </w:t>
            </w:r>
          </w:p>
        </w:tc>
        <w:tc>
          <w:tcPr>
            <w:tcW w:w="2183" w:type="dxa"/>
            <w:tcBorders>
              <w:top w:val="single" w:sz="4" w:space="0" w:color="auto"/>
              <w:left w:val="single" w:sz="4" w:space="0" w:color="auto"/>
              <w:bottom w:val="single" w:sz="4" w:space="0" w:color="auto"/>
              <w:right w:val="single" w:sz="4" w:space="0" w:color="auto"/>
            </w:tcBorders>
          </w:tcPr>
          <w:p w14:paraId="656EFEB2"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285 €</w:t>
            </w:r>
          </w:p>
        </w:tc>
      </w:tr>
      <w:tr w:rsidR="00147553" w:rsidRPr="002D2219" w14:paraId="4CC2D30A" w14:textId="77777777" w:rsidTr="00444E8A">
        <w:trPr>
          <w:trHeight w:val="140"/>
          <w:jc w:val="center"/>
        </w:trPr>
        <w:tc>
          <w:tcPr>
            <w:tcW w:w="2794" w:type="dxa"/>
          </w:tcPr>
          <w:p w14:paraId="7107E022"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500 – 1 999 km</w:t>
            </w:r>
          </w:p>
        </w:tc>
        <w:tc>
          <w:tcPr>
            <w:tcW w:w="3405" w:type="dxa"/>
            <w:tcBorders>
              <w:top w:val="single" w:sz="4" w:space="0" w:color="auto"/>
              <w:left w:val="single" w:sz="4" w:space="0" w:color="auto"/>
              <w:bottom w:val="single" w:sz="4" w:space="0" w:color="auto"/>
              <w:right w:val="single" w:sz="4" w:space="0" w:color="auto"/>
            </w:tcBorders>
          </w:tcPr>
          <w:p w14:paraId="562E6213"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309 €</w:t>
            </w:r>
          </w:p>
        </w:tc>
        <w:tc>
          <w:tcPr>
            <w:tcW w:w="2183" w:type="dxa"/>
            <w:tcBorders>
              <w:top w:val="single" w:sz="4" w:space="0" w:color="auto"/>
              <w:left w:val="single" w:sz="4" w:space="0" w:color="auto"/>
              <w:bottom w:val="single" w:sz="4" w:space="0" w:color="auto"/>
              <w:right w:val="single" w:sz="4" w:space="0" w:color="auto"/>
            </w:tcBorders>
          </w:tcPr>
          <w:p w14:paraId="4C755821"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417 €</w:t>
            </w:r>
          </w:p>
        </w:tc>
      </w:tr>
      <w:tr w:rsidR="00147553" w:rsidRPr="002D2219" w14:paraId="2E2B42AF" w14:textId="77777777" w:rsidTr="00444E8A">
        <w:trPr>
          <w:trHeight w:val="140"/>
          <w:jc w:val="center"/>
        </w:trPr>
        <w:tc>
          <w:tcPr>
            <w:tcW w:w="2794" w:type="dxa"/>
          </w:tcPr>
          <w:p w14:paraId="6926F36F"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2 000 – 2 999 km</w:t>
            </w:r>
          </w:p>
        </w:tc>
        <w:tc>
          <w:tcPr>
            <w:tcW w:w="3405" w:type="dxa"/>
            <w:tcBorders>
              <w:top w:val="single" w:sz="4" w:space="0" w:color="auto"/>
              <w:left w:val="single" w:sz="4" w:space="0" w:color="auto"/>
              <w:bottom w:val="single" w:sz="4" w:space="0" w:color="auto"/>
              <w:right w:val="single" w:sz="4" w:space="0" w:color="auto"/>
            </w:tcBorders>
          </w:tcPr>
          <w:p w14:paraId="1655CA22"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395 €</w:t>
            </w:r>
          </w:p>
        </w:tc>
        <w:tc>
          <w:tcPr>
            <w:tcW w:w="2183" w:type="dxa"/>
            <w:tcBorders>
              <w:top w:val="single" w:sz="4" w:space="0" w:color="auto"/>
              <w:left w:val="single" w:sz="4" w:space="0" w:color="auto"/>
              <w:bottom w:val="single" w:sz="4" w:space="0" w:color="auto"/>
              <w:right w:val="single" w:sz="4" w:space="0" w:color="auto"/>
            </w:tcBorders>
          </w:tcPr>
          <w:p w14:paraId="743847E6"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535 €</w:t>
            </w:r>
          </w:p>
        </w:tc>
      </w:tr>
      <w:tr w:rsidR="00147553" w:rsidRPr="002D2219" w14:paraId="22B9A61F" w14:textId="77777777" w:rsidTr="00444E8A">
        <w:trPr>
          <w:trHeight w:val="140"/>
          <w:jc w:val="center"/>
        </w:trPr>
        <w:tc>
          <w:tcPr>
            <w:tcW w:w="2794" w:type="dxa"/>
          </w:tcPr>
          <w:p w14:paraId="4CA9FE6D"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3 000 – 3 999 km</w:t>
            </w:r>
          </w:p>
        </w:tc>
        <w:tc>
          <w:tcPr>
            <w:tcW w:w="3405" w:type="dxa"/>
            <w:tcBorders>
              <w:top w:val="single" w:sz="4" w:space="0" w:color="auto"/>
              <w:left w:val="single" w:sz="4" w:space="0" w:color="auto"/>
              <w:bottom w:val="single" w:sz="4" w:space="0" w:color="auto"/>
              <w:right w:val="single" w:sz="4" w:space="0" w:color="auto"/>
            </w:tcBorders>
          </w:tcPr>
          <w:p w14:paraId="3092870C"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580 €</w:t>
            </w:r>
          </w:p>
        </w:tc>
        <w:tc>
          <w:tcPr>
            <w:tcW w:w="2183" w:type="dxa"/>
            <w:tcBorders>
              <w:top w:val="single" w:sz="4" w:space="0" w:color="auto"/>
              <w:left w:val="single" w:sz="4" w:space="0" w:color="auto"/>
              <w:bottom w:val="single" w:sz="4" w:space="0" w:color="auto"/>
              <w:right w:val="single" w:sz="4" w:space="0" w:color="auto"/>
            </w:tcBorders>
          </w:tcPr>
          <w:p w14:paraId="00539CF9"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785 €</w:t>
            </w:r>
          </w:p>
        </w:tc>
      </w:tr>
      <w:tr w:rsidR="00147553" w:rsidRPr="002D2219" w14:paraId="5D974F7C" w14:textId="77777777" w:rsidTr="00444E8A">
        <w:trPr>
          <w:trHeight w:val="140"/>
          <w:jc w:val="center"/>
        </w:trPr>
        <w:tc>
          <w:tcPr>
            <w:tcW w:w="2794" w:type="dxa"/>
          </w:tcPr>
          <w:p w14:paraId="4726A670"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4 000 – 7 999 km</w:t>
            </w:r>
          </w:p>
        </w:tc>
        <w:tc>
          <w:tcPr>
            <w:tcW w:w="3405" w:type="dxa"/>
            <w:tcBorders>
              <w:top w:val="single" w:sz="4" w:space="0" w:color="auto"/>
              <w:left w:val="single" w:sz="4" w:space="0" w:color="auto"/>
              <w:bottom w:val="single" w:sz="4" w:space="0" w:color="auto"/>
              <w:right w:val="single" w:sz="4" w:space="0" w:color="auto"/>
            </w:tcBorders>
          </w:tcPr>
          <w:p w14:paraId="30CC013D"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1188 €</w:t>
            </w:r>
          </w:p>
        </w:tc>
        <w:tc>
          <w:tcPr>
            <w:tcW w:w="2183" w:type="dxa"/>
            <w:tcBorders>
              <w:top w:val="single" w:sz="4" w:space="0" w:color="auto"/>
              <w:left w:val="single" w:sz="4" w:space="0" w:color="auto"/>
              <w:bottom w:val="single" w:sz="4" w:space="0" w:color="auto"/>
              <w:right w:val="single" w:sz="4" w:space="0" w:color="auto"/>
            </w:tcBorders>
          </w:tcPr>
          <w:p w14:paraId="1D583FE1"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1188 €</w:t>
            </w:r>
          </w:p>
        </w:tc>
      </w:tr>
      <w:tr w:rsidR="00147553" w:rsidRPr="002D2219" w14:paraId="646197DF" w14:textId="77777777" w:rsidTr="00444E8A">
        <w:trPr>
          <w:trHeight w:val="140"/>
          <w:jc w:val="center"/>
        </w:trPr>
        <w:tc>
          <w:tcPr>
            <w:tcW w:w="2794" w:type="dxa"/>
          </w:tcPr>
          <w:p w14:paraId="10D14375"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bCs/>
                <w:color w:val="000000"/>
                <w:sz w:val="22"/>
                <w:szCs w:val="22"/>
              </w:rPr>
              <w:t>8 000 km ili više</w:t>
            </w:r>
          </w:p>
        </w:tc>
        <w:tc>
          <w:tcPr>
            <w:tcW w:w="3405" w:type="dxa"/>
            <w:tcBorders>
              <w:top w:val="single" w:sz="4" w:space="0" w:color="auto"/>
              <w:left w:val="single" w:sz="4" w:space="0" w:color="auto"/>
              <w:bottom w:val="single" w:sz="4" w:space="0" w:color="auto"/>
              <w:right w:val="single" w:sz="4" w:space="0" w:color="auto"/>
            </w:tcBorders>
          </w:tcPr>
          <w:p w14:paraId="47159933" w14:textId="77777777" w:rsidR="00147553" w:rsidRPr="002D2219" w:rsidRDefault="00147553" w:rsidP="00444E8A">
            <w:pPr>
              <w:autoSpaceDE w:val="0"/>
              <w:autoSpaceDN w:val="0"/>
              <w:adjustRightInd w:val="0"/>
              <w:rPr>
                <w:rFonts w:ascii="Calibri" w:hAnsi="Calibri" w:cs="Calibri"/>
                <w:color w:val="000000"/>
                <w:sz w:val="22"/>
                <w:szCs w:val="22"/>
              </w:rPr>
            </w:pPr>
            <w:r w:rsidRPr="002D2219">
              <w:rPr>
                <w:rFonts w:ascii="Calibri" w:hAnsi="Calibri" w:cs="Calibri"/>
                <w:color w:val="000000"/>
                <w:sz w:val="22"/>
                <w:szCs w:val="22"/>
              </w:rPr>
              <w:t>1735 €</w:t>
            </w:r>
          </w:p>
        </w:tc>
        <w:tc>
          <w:tcPr>
            <w:tcW w:w="2183" w:type="dxa"/>
            <w:tcBorders>
              <w:top w:val="single" w:sz="4" w:space="0" w:color="auto"/>
              <w:left w:val="single" w:sz="4" w:space="0" w:color="auto"/>
              <w:bottom w:val="single" w:sz="4" w:space="0" w:color="auto"/>
              <w:right w:val="single" w:sz="4" w:space="0" w:color="auto"/>
            </w:tcBorders>
          </w:tcPr>
          <w:p w14:paraId="22A30E20" w14:textId="77777777" w:rsidR="00147553" w:rsidRPr="002D2219" w:rsidRDefault="00147553" w:rsidP="00444E8A">
            <w:pPr>
              <w:autoSpaceDE w:val="0"/>
              <w:autoSpaceDN w:val="0"/>
              <w:adjustRightInd w:val="0"/>
              <w:rPr>
                <w:rFonts w:ascii="Calibri" w:hAnsi="Calibri" w:cs="Calibri"/>
                <w:color w:val="00B050"/>
                <w:sz w:val="22"/>
                <w:szCs w:val="22"/>
              </w:rPr>
            </w:pPr>
            <w:r w:rsidRPr="002D2219">
              <w:rPr>
                <w:rFonts w:ascii="Calibri" w:hAnsi="Calibri" w:cs="Calibri"/>
                <w:color w:val="00B050"/>
                <w:sz w:val="22"/>
                <w:szCs w:val="22"/>
              </w:rPr>
              <w:t>1735 €</w:t>
            </w:r>
          </w:p>
        </w:tc>
      </w:tr>
    </w:tbl>
    <w:p w14:paraId="0F0C3356" w14:textId="77777777" w:rsidR="00147553" w:rsidRPr="002D2219" w:rsidRDefault="00147553" w:rsidP="00147553">
      <w:pPr>
        <w:autoSpaceDE w:val="0"/>
        <w:autoSpaceDN w:val="0"/>
        <w:adjustRightInd w:val="0"/>
        <w:rPr>
          <w:rFonts w:ascii="Calibri" w:hAnsi="Calibri" w:cs="Tahoma"/>
          <w:sz w:val="20"/>
          <w:szCs w:val="20"/>
        </w:rPr>
      </w:pPr>
    </w:p>
    <w:p w14:paraId="621A1E3E"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Broj dodijeljenih potpora ovisit će o od strane Agencije za mobilnost i programe EU dodijeljenim sredstvima te o ukupnom broju dana za koje su se članovi nastavnog osoblja prijavili.</w:t>
      </w:r>
    </w:p>
    <w:p w14:paraId="1F070C9D" w14:textId="77777777" w:rsidR="00147553" w:rsidRPr="002D2219" w:rsidRDefault="00147553" w:rsidP="00147553">
      <w:pPr>
        <w:autoSpaceDE w:val="0"/>
        <w:autoSpaceDN w:val="0"/>
        <w:adjustRightInd w:val="0"/>
        <w:rPr>
          <w:rFonts w:ascii="Calibri" w:hAnsi="Calibri" w:cs="Tahoma"/>
          <w:sz w:val="20"/>
          <w:szCs w:val="20"/>
        </w:rPr>
      </w:pPr>
    </w:p>
    <w:p w14:paraId="6C7B9F9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lastRenderedPageBreak/>
        <w:t>Kandidati/kandidatkinje ne mogu dobiti financijsku potporu u sklopu Erasmusa ukoliko će njihov boravak u inozemstvu biti dodatno financiran iz sredstava koja potječu iz fondova Europske unije. Pod dvostrukim financiranjem ne smatraju se sredstva koja Sveučilište odnosno njegove sastavnice odluče izdvojiti kako bi povećale mjesečni iznos financijske potpore za kandidate/kandidatkinje.</w:t>
      </w:r>
    </w:p>
    <w:p w14:paraId="5DA5C19D" w14:textId="77777777" w:rsidR="00147553" w:rsidRPr="002D2219" w:rsidRDefault="00147553" w:rsidP="00147553">
      <w:pPr>
        <w:jc w:val="both"/>
        <w:rPr>
          <w:rFonts w:ascii="Calibri" w:hAnsi="Calibri" w:cs="Tahoma"/>
          <w:sz w:val="20"/>
          <w:szCs w:val="20"/>
        </w:rPr>
      </w:pPr>
    </w:p>
    <w:p w14:paraId="3B017D93" w14:textId="77777777" w:rsidR="00147553" w:rsidRPr="002D2219" w:rsidRDefault="00147553" w:rsidP="00147553">
      <w:pPr>
        <w:autoSpaceDE w:val="0"/>
        <w:autoSpaceDN w:val="0"/>
        <w:adjustRightInd w:val="0"/>
        <w:jc w:val="both"/>
        <w:rPr>
          <w:rFonts w:ascii="Calibri" w:hAnsi="Calibri" w:cs="Tahoma"/>
          <w:sz w:val="20"/>
          <w:szCs w:val="20"/>
        </w:rPr>
      </w:pPr>
      <w:r w:rsidRPr="002D2219">
        <w:rPr>
          <w:rFonts w:ascii="Calibri" w:hAnsi="Calibri" w:cs="Tahoma"/>
          <w:sz w:val="20"/>
          <w:szCs w:val="20"/>
        </w:rPr>
        <w:t>Kandidati/kandidatkinje mogu uz bespovratna sredstva EU-a u okviru programa Erasmus+ ili umjesto njih (sudionici u mobilnosti bez financijske potpore iz fondova EU-a) dobivati regionalna, nacionalna ili druga bespovratna sredstva kojima ne upravlja nacionalna agencija (nego npr. ministarstvo ili regionalna tijela).</w:t>
      </w:r>
    </w:p>
    <w:p w14:paraId="433B4C90" w14:textId="77777777" w:rsidR="00147553" w:rsidRPr="002D2219" w:rsidRDefault="00147553" w:rsidP="00147553">
      <w:pPr>
        <w:jc w:val="both"/>
        <w:rPr>
          <w:rFonts w:ascii="Calibri" w:hAnsi="Calibri" w:cs="Tahoma"/>
          <w:sz w:val="20"/>
          <w:szCs w:val="20"/>
        </w:rPr>
      </w:pPr>
    </w:p>
    <w:p w14:paraId="54F51A2F"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Osobe s posebnim potrebama/invaliditetom imaju pravo dobiti uvećani iznos mjesečne financijske potpore zbog mogućih povećanih troškova mobilnosti. </w:t>
      </w:r>
      <w:r w:rsidRPr="002D2219">
        <w:rPr>
          <w:rFonts w:ascii="Calibri" w:hAnsi="Calibri"/>
          <w:sz w:val="20"/>
          <w:szCs w:val="20"/>
        </w:rPr>
        <w:t>Sveučilište u Rijeci će kandidate koji budu izabrani na Natječaju, a koji su u sklopu natječajne dokumentacije dostavili ispunjen prijavni obrazac za osobe s posebnim potrebama/invaliditetom, naknadno obavijestiti o postupku potraživanja dodatnih sredstava od Agencije za mobilnost i programe EU kao i o dodatnoj dokumentaciji koju je potrebno dostaviti u svrhu odobrenja dodatnih sredstava.</w:t>
      </w:r>
    </w:p>
    <w:p w14:paraId="59FA702A"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H Prijavna dokumentacija:</w:t>
      </w:r>
    </w:p>
    <w:p w14:paraId="77ADD518" w14:textId="77777777" w:rsidR="00147553" w:rsidRPr="002D2219" w:rsidRDefault="00147553" w:rsidP="00147553">
      <w:pPr>
        <w:ind w:left="360"/>
        <w:jc w:val="both"/>
        <w:rPr>
          <w:rFonts w:ascii="Calibri" w:hAnsi="Calibri" w:cs="Tahoma"/>
          <w:sz w:val="20"/>
          <w:szCs w:val="20"/>
        </w:rPr>
      </w:pPr>
    </w:p>
    <w:p w14:paraId="62D4F1C1" w14:textId="77777777" w:rsidR="00147553" w:rsidRPr="002D2219" w:rsidRDefault="00147553" w:rsidP="00147553">
      <w:pPr>
        <w:ind w:left="360"/>
        <w:jc w:val="both"/>
        <w:rPr>
          <w:rFonts w:ascii="Calibri" w:hAnsi="Calibri" w:cs="Tahoma"/>
          <w:sz w:val="20"/>
          <w:szCs w:val="20"/>
        </w:rPr>
      </w:pPr>
      <w:r w:rsidRPr="002D2219">
        <w:rPr>
          <w:rFonts w:ascii="Calibri" w:hAnsi="Calibri" w:cs="Tahoma"/>
          <w:sz w:val="20"/>
          <w:szCs w:val="20"/>
        </w:rPr>
        <w:t>OBVEZNI DOKUMENTI</w:t>
      </w:r>
    </w:p>
    <w:p w14:paraId="1E4B52A8" w14:textId="77777777" w:rsidR="00147553" w:rsidRPr="00042FF7" w:rsidRDefault="00147553" w:rsidP="00147553">
      <w:pPr>
        <w:pStyle w:val="Odlomakpopisa"/>
        <w:numPr>
          <w:ilvl w:val="0"/>
          <w:numId w:val="4"/>
        </w:numPr>
        <w:jc w:val="both"/>
        <w:rPr>
          <w:rFonts w:ascii="Calibri" w:hAnsi="Calibri" w:cs="Tahoma"/>
          <w:sz w:val="20"/>
          <w:szCs w:val="20"/>
        </w:rPr>
      </w:pPr>
      <w:r w:rsidRPr="00042FF7">
        <w:rPr>
          <w:rFonts w:ascii="Calibri" w:hAnsi="Calibri" w:cs="Tahoma"/>
          <w:sz w:val="20"/>
          <w:szCs w:val="20"/>
        </w:rPr>
        <w:t>Životopis</w:t>
      </w:r>
      <w:r>
        <w:rPr>
          <w:rFonts w:ascii="Calibri" w:hAnsi="Calibri" w:cs="Tahoma"/>
          <w:sz w:val="20"/>
          <w:szCs w:val="20"/>
        </w:rPr>
        <w:t>;</w:t>
      </w:r>
    </w:p>
    <w:p w14:paraId="4AAEACD4" w14:textId="252209AA" w:rsidR="00147553" w:rsidRPr="002D2219" w:rsidRDefault="00147553" w:rsidP="00147553">
      <w:pPr>
        <w:numPr>
          <w:ilvl w:val="0"/>
          <w:numId w:val="4"/>
        </w:numPr>
        <w:jc w:val="both"/>
        <w:rPr>
          <w:rFonts w:ascii="Calibri" w:hAnsi="Calibri" w:cs="Tahoma"/>
          <w:sz w:val="20"/>
          <w:szCs w:val="20"/>
        </w:rPr>
      </w:pPr>
      <w:r w:rsidRPr="002D2219">
        <w:rPr>
          <w:rFonts w:ascii="Calibri" w:hAnsi="Calibri" w:cs="Tahoma"/>
          <w:sz w:val="20"/>
          <w:szCs w:val="20"/>
        </w:rPr>
        <w:t>Naslov i sažetak predavanja</w:t>
      </w:r>
      <w:r>
        <w:rPr>
          <w:rFonts w:ascii="Calibri" w:hAnsi="Calibri" w:cs="Tahoma"/>
          <w:sz w:val="20"/>
          <w:szCs w:val="20"/>
        </w:rPr>
        <w:t>;</w:t>
      </w:r>
      <w:r w:rsidRPr="002D2219">
        <w:rPr>
          <w:rFonts w:ascii="Calibri" w:hAnsi="Calibri" w:cs="Tahoma"/>
          <w:sz w:val="20"/>
          <w:szCs w:val="20"/>
        </w:rPr>
        <w:t xml:space="preserve"> </w:t>
      </w:r>
    </w:p>
    <w:p w14:paraId="2A292AE4" w14:textId="77777777" w:rsidR="00147553" w:rsidRPr="002D2219" w:rsidRDefault="00147553" w:rsidP="00147553">
      <w:pPr>
        <w:numPr>
          <w:ilvl w:val="0"/>
          <w:numId w:val="4"/>
        </w:numPr>
        <w:jc w:val="both"/>
        <w:rPr>
          <w:rFonts w:ascii="Calibri" w:hAnsi="Calibri" w:cs="Tahoma"/>
          <w:sz w:val="20"/>
          <w:szCs w:val="20"/>
        </w:rPr>
      </w:pPr>
      <w:r w:rsidRPr="002D2219">
        <w:rPr>
          <w:rFonts w:ascii="Calibri" w:hAnsi="Calibri" w:cs="Tahoma"/>
          <w:sz w:val="20"/>
          <w:szCs w:val="20"/>
        </w:rPr>
        <w:t>Preslika putovnice;</w:t>
      </w:r>
    </w:p>
    <w:p w14:paraId="085F398F" w14:textId="77777777" w:rsidR="00147553" w:rsidRPr="002D2219" w:rsidRDefault="00147553" w:rsidP="00147553">
      <w:pPr>
        <w:ind w:left="360"/>
        <w:jc w:val="both"/>
        <w:rPr>
          <w:rFonts w:ascii="Calibri" w:hAnsi="Calibri" w:cs="Tahoma"/>
          <w:sz w:val="20"/>
          <w:szCs w:val="20"/>
        </w:rPr>
      </w:pPr>
    </w:p>
    <w:p w14:paraId="482FD66D" w14:textId="77777777" w:rsidR="00147553" w:rsidRPr="002D2219" w:rsidRDefault="00147553" w:rsidP="00147553">
      <w:pPr>
        <w:ind w:left="360"/>
        <w:jc w:val="both"/>
        <w:rPr>
          <w:rFonts w:ascii="Calibri" w:hAnsi="Calibri" w:cs="Tahoma"/>
          <w:sz w:val="20"/>
          <w:szCs w:val="20"/>
        </w:rPr>
      </w:pPr>
      <w:r w:rsidRPr="002D2219">
        <w:rPr>
          <w:rFonts w:ascii="Calibri" w:hAnsi="Calibri" w:cs="Tahoma"/>
          <w:sz w:val="20"/>
          <w:szCs w:val="20"/>
        </w:rPr>
        <w:t>DODATNI DOKUMENTI</w:t>
      </w:r>
    </w:p>
    <w:p w14:paraId="6E41E544" w14:textId="77777777" w:rsidR="00147553" w:rsidRPr="002D2219" w:rsidRDefault="00147553" w:rsidP="00147553">
      <w:pPr>
        <w:numPr>
          <w:ilvl w:val="0"/>
          <w:numId w:val="5"/>
        </w:numPr>
        <w:jc w:val="both"/>
        <w:rPr>
          <w:rFonts w:ascii="Calibri" w:hAnsi="Calibri" w:cs="Tahoma"/>
          <w:sz w:val="20"/>
          <w:szCs w:val="20"/>
        </w:rPr>
      </w:pPr>
      <w:r w:rsidRPr="002D2219">
        <w:rPr>
          <w:rFonts w:ascii="Calibri" w:hAnsi="Calibri" w:cs="Tahoma"/>
          <w:sz w:val="20"/>
          <w:szCs w:val="20"/>
        </w:rPr>
        <w:t>Prijavni obrazac za osobe s posebnim potrebama (po potrebi).</w:t>
      </w:r>
    </w:p>
    <w:p w14:paraId="71056174" w14:textId="77777777" w:rsidR="00147553" w:rsidRPr="002D2219" w:rsidRDefault="00147553" w:rsidP="00147553">
      <w:pPr>
        <w:jc w:val="both"/>
        <w:rPr>
          <w:rFonts w:ascii="Calibri" w:hAnsi="Calibri" w:cs="Tahoma"/>
          <w:sz w:val="20"/>
          <w:szCs w:val="20"/>
        </w:rPr>
      </w:pPr>
    </w:p>
    <w:p w14:paraId="767893CD" w14:textId="77777777" w:rsidR="00147553" w:rsidRPr="002D2219" w:rsidRDefault="00147553" w:rsidP="00147553">
      <w:pPr>
        <w:shd w:val="clear" w:color="auto" w:fill="99CCFF"/>
        <w:jc w:val="both"/>
        <w:rPr>
          <w:rFonts w:ascii="Calibri" w:hAnsi="Calibri" w:cs="Tahoma"/>
          <w:b/>
          <w:sz w:val="20"/>
          <w:szCs w:val="20"/>
        </w:rPr>
      </w:pPr>
      <w:r w:rsidRPr="002D2219">
        <w:rPr>
          <w:rFonts w:ascii="Calibri" w:hAnsi="Calibri" w:cs="Tahoma"/>
          <w:b/>
          <w:sz w:val="20"/>
          <w:szCs w:val="20"/>
        </w:rPr>
        <w:t>I Materijali:</w:t>
      </w:r>
    </w:p>
    <w:p w14:paraId="0ACB18A3" w14:textId="77777777" w:rsidR="00147553" w:rsidRPr="002D2219" w:rsidRDefault="00147553" w:rsidP="00147553">
      <w:pPr>
        <w:jc w:val="both"/>
        <w:rPr>
          <w:rFonts w:ascii="Calibri" w:hAnsi="Calibri" w:cs="Tahoma"/>
          <w:sz w:val="20"/>
          <w:szCs w:val="20"/>
        </w:rPr>
      </w:pPr>
    </w:p>
    <w:p w14:paraId="2C7CCDC1"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Prijavni obrazac za osobe s posebnim potrebama.</w:t>
      </w:r>
    </w:p>
    <w:p w14:paraId="4AEE22DB" w14:textId="77777777" w:rsidR="00147553" w:rsidRPr="002D2219" w:rsidRDefault="00147553" w:rsidP="00147553">
      <w:pPr>
        <w:jc w:val="both"/>
        <w:rPr>
          <w:rFonts w:ascii="Calibri" w:hAnsi="Calibri" w:cs="Tahoma"/>
          <w:sz w:val="20"/>
          <w:szCs w:val="20"/>
        </w:rPr>
      </w:pPr>
    </w:p>
    <w:p w14:paraId="2CBBF8D0" w14:textId="77777777" w:rsidR="00147553" w:rsidRPr="002D2219" w:rsidRDefault="00147553" w:rsidP="00147553">
      <w:pPr>
        <w:shd w:val="clear" w:color="auto" w:fill="99CCFF"/>
        <w:rPr>
          <w:rFonts w:ascii="Calibri" w:hAnsi="Calibri" w:cs="Tahoma"/>
          <w:b/>
          <w:sz w:val="20"/>
          <w:szCs w:val="20"/>
        </w:rPr>
      </w:pPr>
      <w:r w:rsidRPr="002D2219">
        <w:rPr>
          <w:rFonts w:ascii="Calibri" w:hAnsi="Calibri" w:cs="Tahoma"/>
          <w:b/>
          <w:sz w:val="20"/>
          <w:szCs w:val="20"/>
        </w:rPr>
        <w:t>J Ostalo</w:t>
      </w:r>
    </w:p>
    <w:p w14:paraId="42450174" w14:textId="77777777" w:rsidR="00147553" w:rsidRPr="002D2219" w:rsidRDefault="00147553" w:rsidP="00147553">
      <w:pPr>
        <w:rPr>
          <w:rFonts w:ascii="Calibri" w:hAnsi="Calibri" w:cs="Tahoma"/>
          <w:sz w:val="20"/>
          <w:szCs w:val="20"/>
        </w:rPr>
      </w:pPr>
    </w:p>
    <w:p w14:paraId="6C559A5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Izabrani kandidati/kandidatkinje dužni su se prije i po povratku s inozemne ustanove pridržavati propisane procedure (o kojoj će biti obaviješteni) te Sveučilištu dostaviti zatraženu dokumentaciju.</w:t>
      </w:r>
    </w:p>
    <w:p w14:paraId="2B0E6487" w14:textId="77777777" w:rsidR="00147553" w:rsidRPr="002D2219" w:rsidRDefault="00147553" w:rsidP="00147553">
      <w:pPr>
        <w:jc w:val="both"/>
        <w:rPr>
          <w:rFonts w:ascii="Calibri" w:hAnsi="Calibri" w:cs="Tahoma"/>
          <w:sz w:val="20"/>
          <w:szCs w:val="20"/>
        </w:rPr>
      </w:pPr>
    </w:p>
    <w:p w14:paraId="62336AFA"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 xml:space="preserve">Prijavom na Natječaj kandidati potvrđuju da su upoznati da Sveučilište u Rijeci kao voditelj obrade osobnih podataka obrađuje njihove osobne podatke iz Prijave izričito u svrhu provedbe predmetnog Natječaja odnosno u svrhu provedbe Erasmus mobilnosti, uključujući i objavu imena i prezimena na popisu izabranih/odbijenih kandidata ili na listi čekanja, odnosno na svim naknadnim listama/popisima ukoliko bude potrebe za istim, kao i sastavljanja i provedbe ugovora o dodjeli financijske potpore te u svrhu isplate financijske potpore. </w:t>
      </w:r>
    </w:p>
    <w:p w14:paraId="699BF426" w14:textId="77777777" w:rsidR="00147553" w:rsidRPr="002D2219" w:rsidRDefault="00147553" w:rsidP="00147553">
      <w:pPr>
        <w:jc w:val="both"/>
        <w:rPr>
          <w:rFonts w:ascii="Calibri" w:hAnsi="Calibri" w:cs="Tahoma"/>
          <w:sz w:val="20"/>
          <w:szCs w:val="20"/>
        </w:rPr>
      </w:pPr>
    </w:p>
    <w:p w14:paraId="1EF25543"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Prijavom na Natječaj kandidati potvrđuju da su upoznati da provedba postupka Erasmus mobilnosti podrazumijeva unošenje njihovih osobnih podataka u baze Sveučilišta u Rijeci, sastavnica Sveučilišta u Rijeci, inozemnih partnerskih institucija, Europske komisije, Agencije za mobilnost i programe EU, baze Ministarstva unutarnjih poslova i drugih ustanova/ javnopravnih tijela koja su ovlaštena tražiti i dobiti podatke o Erasmus stipendistima u svrhu provedbe mobilnosti.</w:t>
      </w:r>
    </w:p>
    <w:p w14:paraId="51BD9DB1" w14:textId="77777777" w:rsidR="00147553" w:rsidRPr="002D2219" w:rsidRDefault="00147553" w:rsidP="00147553">
      <w:pPr>
        <w:jc w:val="both"/>
        <w:rPr>
          <w:rFonts w:ascii="Calibri" w:hAnsi="Calibri" w:cs="Tahoma"/>
          <w:sz w:val="20"/>
          <w:szCs w:val="20"/>
        </w:rPr>
      </w:pPr>
    </w:p>
    <w:p w14:paraId="72576B89" w14:textId="77777777" w:rsidR="00147553" w:rsidRPr="002D2219" w:rsidRDefault="00147553" w:rsidP="00147553">
      <w:pPr>
        <w:jc w:val="both"/>
        <w:rPr>
          <w:rFonts w:ascii="Calibri" w:hAnsi="Calibri" w:cs="Tahoma"/>
          <w:sz w:val="20"/>
          <w:szCs w:val="20"/>
        </w:rPr>
      </w:pPr>
      <w:r w:rsidRPr="002D2219">
        <w:rPr>
          <w:rFonts w:ascii="Calibri" w:hAnsi="Calibri" w:cs="Tahoma"/>
          <w:sz w:val="20"/>
          <w:szCs w:val="20"/>
        </w:rPr>
        <w:t>Nadalje, kandidati su upoznati da se njihovi osobni podaci neće obrađivati na način koji nije u skladu s navedenom svrhom i pozitivnim propisima europskog i nacionalnog prava.</w:t>
      </w:r>
    </w:p>
    <w:p w14:paraId="1EC5579D" w14:textId="77777777" w:rsidR="00147553" w:rsidRPr="002D2219" w:rsidRDefault="00147553" w:rsidP="00147553">
      <w:pPr>
        <w:rPr>
          <w:rFonts w:ascii="Calibri" w:hAnsi="Calibri" w:cs="Tahoma"/>
          <w:sz w:val="20"/>
          <w:szCs w:val="20"/>
        </w:rPr>
      </w:pPr>
    </w:p>
    <w:p w14:paraId="13BEEACB" w14:textId="77777777" w:rsidR="00147553" w:rsidRPr="002D2219" w:rsidRDefault="00147553" w:rsidP="00147553">
      <w:pPr>
        <w:shd w:val="clear" w:color="auto" w:fill="99CCFF"/>
        <w:rPr>
          <w:rFonts w:ascii="Calibri" w:hAnsi="Calibri" w:cs="Tahoma"/>
          <w:b/>
          <w:sz w:val="20"/>
          <w:szCs w:val="20"/>
        </w:rPr>
      </w:pPr>
      <w:r w:rsidRPr="002D2219">
        <w:rPr>
          <w:rFonts w:ascii="Calibri" w:hAnsi="Calibri" w:cs="Tahoma"/>
          <w:b/>
          <w:sz w:val="20"/>
          <w:szCs w:val="20"/>
        </w:rPr>
        <w:t>K Kontakt za dodatne upite</w:t>
      </w:r>
    </w:p>
    <w:p w14:paraId="1E422F89" w14:textId="77777777" w:rsidR="00147553" w:rsidRPr="002D2219" w:rsidRDefault="00147553" w:rsidP="00147553">
      <w:pPr>
        <w:rPr>
          <w:rFonts w:ascii="Calibri" w:hAnsi="Calibri" w:cs="Tahoma"/>
          <w:b/>
          <w:sz w:val="20"/>
          <w:szCs w:val="20"/>
        </w:rPr>
      </w:pPr>
    </w:p>
    <w:p w14:paraId="6C2660AD" w14:textId="77777777" w:rsidR="00147553" w:rsidRPr="002D2219" w:rsidRDefault="00147553" w:rsidP="00147553">
      <w:pPr>
        <w:pStyle w:val="BodyA"/>
        <w:jc w:val="both"/>
        <w:rPr>
          <w:rFonts w:ascii="Source Sans Pro" w:eastAsia="Source Sans Pro" w:hAnsi="Source Sans Pro" w:cs="Source Sans Pro"/>
          <w:lang w:val="hr-HR"/>
        </w:rPr>
      </w:pPr>
      <w:r w:rsidRPr="002D2219">
        <w:rPr>
          <w:rFonts w:ascii="Source Sans Pro" w:eastAsia="Source Sans Pro" w:hAnsi="Source Sans Pro" w:cs="Source Sans Pro"/>
          <w:lang w:val="hr-HR"/>
        </w:rPr>
        <w:t>erasmus@inf.uniri.hr</w:t>
      </w:r>
    </w:p>
    <w:p w14:paraId="1757B8BF" w14:textId="77777777" w:rsidR="00147553" w:rsidRPr="002D2219" w:rsidRDefault="00147553" w:rsidP="00147553">
      <w:pPr>
        <w:pStyle w:val="BodyA"/>
        <w:jc w:val="both"/>
        <w:rPr>
          <w:rFonts w:ascii="Source Sans Pro" w:eastAsia="Source Sans Pro" w:hAnsi="Source Sans Pro" w:cs="Source Sans Pro"/>
          <w:lang w:val="hr-HR"/>
        </w:rPr>
      </w:pPr>
    </w:p>
    <w:p w14:paraId="1B574072" w14:textId="77777777" w:rsidR="00147553" w:rsidRPr="002D2219" w:rsidRDefault="00147553" w:rsidP="00147553">
      <w:pPr>
        <w:pStyle w:val="BodyA"/>
        <w:jc w:val="both"/>
        <w:rPr>
          <w:rFonts w:ascii="Source Sans Pro" w:eastAsia="Source Sans Pro" w:hAnsi="Source Sans Pro" w:cs="Source Sans Pro"/>
          <w:lang w:val="hr-HR"/>
        </w:rPr>
      </w:pPr>
    </w:p>
    <w:p w14:paraId="7D500CB5" w14:textId="77777777" w:rsidR="00147553" w:rsidRPr="00343D31" w:rsidRDefault="00147553" w:rsidP="00147553">
      <w:pPr>
        <w:pStyle w:val="BodyA"/>
        <w:jc w:val="both"/>
        <w:rPr>
          <w:rFonts w:ascii="Source Sans Pro" w:eastAsia="Source Sans Pro" w:hAnsi="Source Sans Pro" w:cs="Source Sans Pro"/>
          <w:lang w:val="hr-HR"/>
        </w:rPr>
      </w:pPr>
      <w:r w:rsidRPr="002D2219">
        <w:rPr>
          <w:rFonts w:ascii="Source Sans Pro" w:eastAsia="Source Sans Pro" w:hAnsi="Source Sans Pro" w:cs="Source Sans Pro"/>
          <w:noProof/>
          <w:lang w:val="hr-HR" w:eastAsia="hr-HR"/>
        </w:rPr>
        <w:drawing>
          <wp:anchor distT="0" distB="0" distL="114300" distR="114300" simplePos="0" relativeHeight="251659264" behindDoc="1" locked="0" layoutInCell="1" allowOverlap="1" wp14:anchorId="5E5EF463" wp14:editId="7BD26244">
            <wp:simplePos x="0" y="0"/>
            <wp:positionH relativeFrom="column">
              <wp:posOffset>4641850</wp:posOffset>
            </wp:positionH>
            <wp:positionV relativeFrom="paragraph">
              <wp:posOffset>208412</wp:posOffset>
            </wp:positionV>
            <wp:extent cx="1055370" cy="591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asmus plus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5370" cy="591185"/>
                    </a:xfrm>
                    <a:prstGeom prst="rect">
                      <a:avLst/>
                    </a:prstGeom>
                  </pic:spPr>
                </pic:pic>
              </a:graphicData>
            </a:graphic>
          </wp:anchor>
        </w:drawing>
      </w:r>
      <w:r w:rsidRPr="002D2219">
        <w:rPr>
          <w:rFonts w:ascii="Source Sans Pro" w:eastAsia="Source Sans Pro" w:hAnsi="Source Sans Pro" w:cs="Source Sans Pro"/>
          <w:noProof/>
          <w:lang w:val="hr-HR" w:eastAsia="hr-HR"/>
        </w:rPr>
        <w:drawing>
          <wp:anchor distT="0" distB="0" distL="114300" distR="114300" simplePos="0" relativeHeight="251660288" behindDoc="1" locked="0" layoutInCell="1" allowOverlap="1" wp14:anchorId="5110B58D" wp14:editId="0911BCF7">
            <wp:simplePos x="0" y="0"/>
            <wp:positionH relativeFrom="column">
              <wp:posOffset>35626</wp:posOffset>
            </wp:positionH>
            <wp:positionV relativeFrom="paragraph">
              <wp:posOffset>246355</wp:posOffset>
            </wp:positionV>
            <wp:extent cx="1055370" cy="373383"/>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34006671_ampeu-logo-e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5370" cy="373383"/>
                    </a:xfrm>
                    <a:prstGeom prst="rect">
                      <a:avLst/>
                    </a:prstGeom>
                  </pic:spPr>
                </pic:pic>
              </a:graphicData>
            </a:graphic>
          </wp:anchor>
        </w:drawing>
      </w:r>
    </w:p>
    <w:p w14:paraId="03047DE9" w14:textId="77777777" w:rsidR="00147553" w:rsidRPr="00E826A4" w:rsidRDefault="00147553" w:rsidP="00147553">
      <w:pPr>
        <w:pStyle w:val="BasicParagraph"/>
        <w:suppressAutoHyphens/>
      </w:pPr>
    </w:p>
    <w:p w14:paraId="57F31261" w14:textId="77777777" w:rsidR="00F44834" w:rsidRPr="00E826A4" w:rsidRDefault="00F44834" w:rsidP="00147553">
      <w:pPr>
        <w:pStyle w:val="BasicParagraph"/>
        <w:suppressAutoHyphens/>
      </w:pPr>
    </w:p>
    <w:sectPr w:rsidR="00F44834" w:rsidRPr="00E826A4" w:rsidSect="006F39AE">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23D5" w14:textId="77777777" w:rsidR="001D60C1" w:rsidRDefault="001D60C1" w:rsidP="00F44834">
      <w:r>
        <w:separator/>
      </w:r>
    </w:p>
  </w:endnote>
  <w:endnote w:type="continuationSeparator" w:id="0">
    <w:p w14:paraId="3FD28561" w14:textId="77777777" w:rsidR="001D60C1" w:rsidRDefault="001D60C1" w:rsidP="00F4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Volte Rounded">
    <w:altName w:val="Calibri"/>
    <w:panose1 w:val="000000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Volte Rounded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9673" w14:textId="77777777" w:rsidR="00C96FFE" w:rsidRDefault="00C96FF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5366" w14:textId="77777777" w:rsidR="00404E55" w:rsidRPr="00F44834" w:rsidRDefault="001730AE" w:rsidP="00404E55">
    <w:r w:rsidRPr="00F44834">
      <w:rPr>
        <w:noProof/>
      </w:rPr>
      <w:drawing>
        <wp:inline distT="0" distB="0" distL="0" distR="0" wp14:anchorId="32363B05" wp14:editId="6582FE9D">
          <wp:extent cx="6174740" cy="7365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854313" cy="201048"/>
                  </a:xfrm>
                  <a:prstGeom prst="rect">
                    <a:avLst/>
                  </a:prstGeom>
                </pic:spPr>
              </pic:pic>
            </a:graphicData>
          </a:graphic>
        </wp:inline>
      </w:drawing>
    </w:r>
  </w:p>
  <w:p w14:paraId="558962C5" w14:textId="77777777" w:rsidR="00404E55" w:rsidRPr="006F39AE" w:rsidRDefault="00404E55" w:rsidP="00404E55">
    <w:pPr>
      <w:rPr>
        <w:sz w:val="14"/>
        <w:szCs w:val="22"/>
      </w:rPr>
    </w:pPr>
  </w:p>
  <w:p w14:paraId="779C56AA" w14:textId="77777777" w:rsidR="009E7E94" w:rsidRPr="00D100C1" w:rsidRDefault="009E7E94" w:rsidP="009E7E94">
    <w:pPr>
      <w:spacing w:line="276" w:lineRule="auto"/>
      <w:rPr>
        <w:rFonts w:ascii="Volte Rounded" w:hAnsi="Volte Rounded"/>
        <w:color w:val="102F71"/>
        <w:spacing w:val="4"/>
        <w:sz w:val="18"/>
        <w:szCs w:val="18"/>
      </w:rPr>
    </w:pPr>
    <w:r w:rsidRPr="00D100C1">
      <w:rPr>
        <w:rFonts w:ascii="Volte Rounded Semibold" w:hAnsi="Volte Rounded Semibold"/>
        <w:color w:val="102F71"/>
        <w:spacing w:val="4"/>
        <w:sz w:val="18"/>
        <w:szCs w:val="18"/>
      </w:rPr>
      <w:t>Radmile Matejčić 2,</w:t>
    </w:r>
    <w:r w:rsidRPr="00D100C1">
      <w:rPr>
        <w:rFonts w:ascii="Volte Rounded" w:hAnsi="Volte Rounded"/>
        <w:color w:val="102F71"/>
        <w:spacing w:val="4"/>
        <w:sz w:val="18"/>
        <w:szCs w:val="18"/>
      </w:rPr>
      <w:t xml:space="preserve"> </w:t>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Semibold" w:hAnsi="Volte Rounded Semibold"/>
        <w:color w:val="102F71"/>
        <w:spacing w:val="4"/>
        <w:sz w:val="18"/>
        <w:szCs w:val="18"/>
      </w:rPr>
      <w:t>T:</w:t>
    </w:r>
    <w:r w:rsidRPr="00D100C1">
      <w:rPr>
        <w:rFonts w:ascii="Volte Rounded" w:hAnsi="Volte Rounded"/>
        <w:color w:val="102F71"/>
        <w:spacing w:val="4"/>
        <w:sz w:val="18"/>
        <w:szCs w:val="18"/>
      </w:rPr>
      <w:t xml:space="preserve"> +385 (0)51/584-700</w:t>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Semibold" w:hAnsi="Volte Rounded Semibold"/>
        <w:color w:val="102F71"/>
        <w:spacing w:val="4"/>
        <w:sz w:val="18"/>
        <w:szCs w:val="18"/>
      </w:rPr>
      <w:t>OIB:</w:t>
    </w:r>
    <w:r w:rsidRPr="00D100C1">
      <w:rPr>
        <w:rFonts w:ascii="Volte Rounded" w:hAnsi="Volte Rounded"/>
        <w:color w:val="102F71"/>
        <w:spacing w:val="4"/>
        <w:sz w:val="18"/>
        <w:szCs w:val="18"/>
      </w:rPr>
      <w:t xml:space="preserve"> 64218323816</w:t>
    </w:r>
  </w:p>
  <w:p w14:paraId="43B5BCFB" w14:textId="30EA891A" w:rsidR="009E7E94" w:rsidRPr="00D100C1" w:rsidRDefault="009E7E94" w:rsidP="009E7E94">
    <w:pPr>
      <w:spacing w:line="276" w:lineRule="auto"/>
      <w:rPr>
        <w:rFonts w:ascii="Volte Rounded" w:hAnsi="Volte Rounded"/>
        <w:color w:val="102F71"/>
        <w:spacing w:val="4"/>
        <w:sz w:val="18"/>
        <w:szCs w:val="18"/>
      </w:rPr>
    </w:pPr>
    <w:r w:rsidRPr="00D100C1">
      <w:rPr>
        <w:rFonts w:ascii="Volte Rounded Semibold" w:hAnsi="Volte Rounded Semibold"/>
        <w:color w:val="102F71"/>
        <w:spacing w:val="4"/>
        <w:sz w:val="18"/>
        <w:szCs w:val="18"/>
      </w:rPr>
      <w:t xml:space="preserve">51000 Rijeka, </w:t>
    </w:r>
    <w:r w:rsidR="005B5D45">
      <w:rPr>
        <w:rFonts w:ascii="Volte Rounded Semibold" w:hAnsi="Volte Rounded Semibold"/>
        <w:color w:val="102F71"/>
        <w:spacing w:val="4"/>
        <w:sz w:val="18"/>
        <w:szCs w:val="18"/>
      </w:rPr>
      <w:t>Croatia</w:t>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Semibold" w:hAnsi="Volte Rounded Semibold"/>
        <w:color w:val="102F71"/>
        <w:spacing w:val="4"/>
        <w:sz w:val="18"/>
        <w:szCs w:val="18"/>
      </w:rPr>
      <w:t>E:</w:t>
    </w:r>
    <w:r w:rsidRPr="00D100C1">
      <w:rPr>
        <w:rFonts w:ascii="Volte Rounded" w:hAnsi="Volte Rounded"/>
        <w:color w:val="102F71"/>
        <w:spacing w:val="4"/>
        <w:sz w:val="18"/>
        <w:szCs w:val="18"/>
      </w:rPr>
      <w:t xml:space="preserve"> ured@inf.uniri.hr</w:t>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Semibold" w:hAnsi="Volte Rounded Semibold"/>
        <w:color w:val="102F71"/>
        <w:spacing w:val="4"/>
        <w:sz w:val="18"/>
        <w:szCs w:val="18"/>
      </w:rPr>
      <w:t>IBAN:</w:t>
    </w:r>
    <w:r w:rsidRPr="00D100C1">
      <w:rPr>
        <w:rFonts w:ascii="Volte Rounded" w:hAnsi="Volte Rounded"/>
        <w:color w:val="102F71"/>
        <w:spacing w:val="4"/>
        <w:sz w:val="18"/>
        <w:szCs w:val="18"/>
      </w:rPr>
      <w:t xml:space="preserve"> </w:t>
    </w:r>
    <w:r w:rsidR="00C96FFE" w:rsidRPr="00C96FFE">
      <w:rPr>
        <w:rFonts w:ascii="Volte Rounded" w:hAnsi="Volte Rounded"/>
        <w:color w:val="102F71"/>
        <w:spacing w:val="4"/>
        <w:sz w:val="18"/>
        <w:szCs w:val="18"/>
      </w:rPr>
      <w:t>HR5324020061100977786</w:t>
    </w:r>
  </w:p>
  <w:p w14:paraId="129EFD01" w14:textId="512476A9" w:rsidR="00404E55" w:rsidRPr="009E7E94" w:rsidRDefault="009E7E94" w:rsidP="009E7E94">
    <w:pPr>
      <w:spacing w:line="276" w:lineRule="auto"/>
      <w:rPr>
        <w:rFonts w:ascii="Volte Rounded Semibold" w:hAnsi="Volte Rounded Semibold"/>
        <w:color w:val="009CDE"/>
        <w:spacing w:val="4"/>
        <w:sz w:val="18"/>
        <w:szCs w:val="18"/>
      </w:rPr>
    </w:pP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w:hAnsi="Volte Rounded"/>
        <w:color w:val="102F71"/>
        <w:spacing w:val="4"/>
        <w:sz w:val="18"/>
        <w:szCs w:val="18"/>
      </w:rPr>
      <w:tab/>
    </w:r>
    <w:r w:rsidRPr="00D100C1">
      <w:rPr>
        <w:rFonts w:ascii="Volte Rounded Semibold" w:hAnsi="Volte Rounded Semibold"/>
        <w:color w:val="009CDE"/>
        <w:spacing w:val="4"/>
        <w:sz w:val="18"/>
        <w:szCs w:val="18"/>
      </w:rPr>
      <w:t>www.inf.uniri.hr</w:t>
    </w:r>
  </w:p>
  <w:p w14:paraId="785CD63E" w14:textId="77777777" w:rsidR="00404E55" w:rsidRDefault="00404E5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59EE" w14:textId="77777777" w:rsidR="00C96FFE" w:rsidRDefault="00C96F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E1539" w14:textId="77777777" w:rsidR="001D60C1" w:rsidRDefault="001D60C1" w:rsidP="00F44834">
      <w:r>
        <w:separator/>
      </w:r>
    </w:p>
  </w:footnote>
  <w:footnote w:type="continuationSeparator" w:id="0">
    <w:p w14:paraId="39247E61" w14:textId="77777777" w:rsidR="001D60C1" w:rsidRDefault="001D60C1" w:rsidP="00F4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76BB" w14:textId="77777777" w:rsidR="00C96FFE" w:rsidRDefault="00C96FF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7944" w14:textId="5FFE613A" w:rsidR="00F44834" w:rsidRDefault="005B5D45" w:rsidP="00404E55">
    <w:pPr>
      <w:pStyle w:val="Zaglavlje"/>
    </w:pPr>
    <w:r>
      <w:rPr>
        <w:noProof/>
      </w:rPr>
      <w:drawing>
        <wp:inline distT="0" distB="0" distL="0" distR="0" wp14:anchorId="2A5BF035" wp14:editId="3A308A5E">
          <wp:extent cx="6116320" cy="659130"/>
          <wp:effectExtent l="0" t="0" r="0" b="7620"/>
          <wp:docPr id="86333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7732" name="Picture 863337732"/>
                  <pic:cNvPicPr/>
                </pic:nvPicPr>
                <pic:blipFill>
                  <a:blip r:embed="rId1">
                    <a:extLst>
                      <a:ext uri="{28A0092B-C50C-407E-A947-70E740481C1C}">
                        <a14:useLocalDpi xmlns:a14="http://schemas.microsoft.com/office/drawing/2010/main" val="0"/>
                      </a:ext>
                    </a:extLst>
                  </a:blip>
                  <a:stretch>
                    <a:fillRect/>
                  </a:stretch>
                </pic:blipFill>
                <pic:spPr>
                  <a:xfrm>
                    <a:off x="0" y="0"/>
                    <a:ext cx="6116320" cy="659130"/>
                  </a:xfrm>
                  <a:prstGeom prst="rect">
                    <a:avLst/>
                  </a:prstGeom>
                </pic:spPr>
              </pic:pic>
            </a:graphicData>
          </a:graphic>
        </wp:inline>
      </w:drawing>
    </w:r>
  </w:p>
  <w:p w14:paraId="3CE4C643" w14:textId="77777777" w:rsidR="00C96FFE" w:rsidRDefault="00C96FFE" w:rsidP="00404E5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B572" w14:textId="77777777" w:rsidR="00C96FFE" w:rsidRDefault="00C96FF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0E1"/>
    <w:multiLevelType w:val="hybridMultilevel"/>
    <w:tmpl w:val="ED0A552C"/>
    <w:lvl w:ilvl="0" w:tplc="D914555A">
      <w:start w:val="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27432"/>
    <w:multiLevelType w:val="hybridMultilevel"/>
    <w:tmpl w:val="FD9E4E1C"/>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D425DC2"/>
    <w:multiLevelType w:val="hybridMultilevel"/>
    <w:tmpl w:val="AAFC16D0"/>
    <w:lvl w:ilvl="0" w:tplc="94C0053A">
      <w:start w:val="1"/>
      <w:numFmt w:val="decimal"/>
      <w:lvlText w:val="%1."/>
      <w:lvlJc w:val="left"/>
      <w:pPr>
        <w:tabs>
          <w:tab w:val="num" w:pos="720"/>
        </w:tabs>
        <w:ind w:left="720" w:hanging="360"/>
      </w:pPr>
      <w:rPr>
        <w:rFonts w:hint="default"/>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4A5D1A5B"/>
    <w:multiLevelType w:val="hybridMultilevel"/>
    <w:tmpl w:val="8A846DC2"/>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5040A10"/>
    <w:multiLevelType w:val="hybridMultilevel"/>
    <w:tmpl w:val="3BC2F58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4"/>
    <w:rsid w:val="00024373"/>
    <w:rsid w:val="00041D58"/>
    <w:rsid w:val="00093496"/>
    <w:rsid w:val="000C4411"/>
    <w:rsid w:val="000D73B5"/>
    <w:rsid w:val="00126CE9"/>
    <w:rsid w:val="00131D4B"/>
    <w:rsid w:val="00147553"/>
    <w:rsid w:val="00167D57"/>
    <w:rsid w:val="001730AE"/>
    <w:rsid w:val="001C37D2"/>
    <w:rsid w:val="001D60C1"/>
    <w:rsid w:val="001E6BF9"/>
    <w:rsid w:val="001F66B8"/>
    <w:rsid w:val="002208B4"/>
    <w:rsid w:val="00235378"/>
    <w:rsid w:val="00235F90"/>
    <w:rsid w:val="002640B4"/>
    <w:rsid w:val="0028796B"/>
    <w:rsid w:val="002D55E6"/>
    <w:rsid w:val="002F42DB"/>
    <w:rsid w:val="002F70E3"/>
    <w:rsid w:val="00325F39"/>
    <w:rsid w:val="00327510"/>
    <w:rsid w:val="00334188"/>
    <w:rsid w:val="003444F1"/>
    <w:rsid w:val="003471B2"/>
    <w:rsid w:val="00376BD7"/>
    <w:rsid w:val="0039113E"/>
    <w:rsid w:val="003F7C20"/>
    <w:rsid w:val="0040304A"/>
    <w:rsid w:val="00404E55"/>
    <w:rsid w:val="004219AD"/>
    <w:rsid w:val="00424494"/>
    <w:rsid w:val="00496340"/>
    <w:rsid w:val="004C7A5F"/>
    <w:rsid w:val="004F093B"/>
    <w:rsid w:val="005058B7"/>
    <w:rsid w:val="0052462B"/>
    <w:rsid w:val="00541216"/>
    <w:rsid w:val="00545CF1"/>
    <w:rsid w:val="005B5D45"/>
    <w:rsid w:val="005C2402"/>
    <w:rsid w:val="005C313C"/>
    <w:rsid w:val="005F0904"/>
    <w:rsid w:val="00603062"/>
    <w:rsid w:val="0062124A"/>
    <w:rsid w:val="00627856"/>
    <w:rsid w:val="00643E6D"/>
    <w:rsid w:val="006568F1"/>
    <w:rsid w:val="006A2025"/>
    <w:rsid w:val="006D324D"/>
    <w:rsid w:val="006F39AE"/>
    <w:rsid w:val="00702F9A"/>
    <w:rsid w:val="0072186A"/>
    <w:rsid w:val="007270A0"/>
    <w:rsid w:val="00741C3E"/>
    <w:rsid w:val="00757245"/>
    <w:rsid w:val="007C0B53"/>
    <w:rsid w:val="007E72FE"/>
    <w:rsid w:val="007F702D"/>
    <w:rsid w:val="00863320"/>
    <w:rsid w:val="00866F25"/>
    <w:rsid w:val="00895F9B"/>
    <w:rsid w:val="008E7682"/>
    <w:rsid w:val="0091781D"/>
    <w:rsid w:val="009402E0"/>
    <w:rsid w:val="00952183"/>
    <w:rsid w:val="00966820"/>
    <w:rsid w:val="00996376"/>
    <w:rsid w:val="009A4AE2"/>
    <w:rsid w:val="009A51FD"/>
    <w:rsid w:val="009E7E94"/>
    <w:rsid w:val="009F17A6"/>
    <w:rsid w:val="009F26B3"/>
    <w:rsid w:val="00A66D9D"/>
    <w:rsid w:val="00A82E9A"/>
    <w:rsid w:val="00A90A68"/>
    <w:rsid w:val="00A944D1"/>
    <w:rsid w:val="00AA62F0"/>
    <w:rsid w:val="00AB2C0F"/>
    <w:rsid w:val="00AB2EA5"/>
    <w:rsid w:val="00B15EDA"/>
    <w:rsid w:val="00B2184D"/>
    <w:rsid w:val="00B2287D"/>
    <w:rsid w:val="00B251EB"/>
    <w:rsid w:val="00B56E37"/>
    <w:rsid w:val="00B62ED6"/>
    <w:rsid w:val="00B9362C"/>
    <w:rsid w:val="00B9424B"/>
    <w:rsid w:val="00BA5063"/>
    <w:rsid w:val="00BB6803"/>
    <w:rsid w:val="00BB70E3"/>
    <w:rsid w:val="00BB7242"/>
    <w:rsid w:val="00BD3C3F"/>
    <w:rsid w:val="00BE543C"/>
    <w:rsid w:val="00BE72D9"/>
    <w:rsid w:val="00BF71C2"/>
    <w:rsid w:val="00C017EA"/>
    <w:rsid w:val="00C06E5B"/>
    <w:rsid w:val="00C12059"/>
    <w:rsid w:val="00C34E7B"/>
    <w:rsid w:val="00C41385"/>
    <w:rsid w:val="00C45525"/>
    <w:rsid w:val="00C4617B"/>
    <w:rsid w:val="00C50E6D"/>
    <w:rsid w:val="00C636DE"/>
    <w:rsid w:val="00C96FFE"/>
    <w:rsid w:val="00CB6781"/>
    <w:rsid w:val="00CD4965"/>
    <w:rsid w:val="00CD4A5A"/>
    <w:rsid w:val="00D42536"/>
    <w:rsid w:val="00D43970"/>
    <w:rsid w:val="00D76112"/>
    <w:rsid w:val="00D7613E"/>
    <w:rsid w:val="00D77D2B"/>
    <w:rsid w:val="00DD6616"/>
    <w:rsid w:val="00E002E0"/>
    <w:rsid w:val="00E44C41"/>
    <w:rsid w:val="00E7435F"/>
    <w:rsid w:val="00E826A4"/>
    <w:rsid w:val="00E91A66"/>
    <w:rsid w:val="00EA22AC"/>
    <w:rsid w:val="00EA3CB1"/>
    <w:rsid w:val="00ED49C1"/>
    <w:rsid w:val="00F01A70"/>
    <w:rsid w:val="00F3077C"/>
    <w:rsid w:val="00F34659"/>
    <w:rsid w:val="00F44834"/>
    <w:rsid w:val="00F47F2B"/>
    <w:rsid w:val="00F83D1E"/>
    <w:rsid w:val="00FD2DBE"/>
    <w:rsid w:val="00FE07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C1C47"/>
  <w15:chartTrackingRefBased/>
  <w15:docId w15:val="{64017D0E-6D95-8C4F-B6DB-58C9694D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uiPriority w:val="99"/>
    <w:rsid w:val="00F44834"/>
    <w:pPr>
      <w:autoSpaceDE w:val="0"/>
      <w:autoSpaceDN w:val="0"/>
      <w:adjustRightInd w:val="0"/>
      <w:spacing w:line="288" w:lineRule="auto"/>
      <w:textAlignment w:val="center"/>
    </w:pPr>
    <w:rPr>
      <w:rFonts w:ascii="Minion Pro" w:hAnsi="Minion Pro" w:cs="Minion Pro"/>
      <w:color w:val="000000"/>
      <w:lang w:val="en-US"/>
    </w:rPr>
  </w:style>
  <w:style w:type="paragraph" w:styleId="Zaglavlje">
    <w:name w:val="header"/>
    <w:basedOn w:val="Normal"/>
    <w:link w:val="ZaglavljeChar"/>
    <w:uiPriority w:val="99"/>
    <w:unhideWhenUsed/>
    <w:rsid w:val="00F44834"/>
    <w:pPr>
      <w:tabs>
        <w:tab w:val="center" w:pos="4703"/>
        <w:tab w:val="right" w:pos="9406"/>
      </w:tabs>
    </w:pPr>
  </w:style>
  <w:style w:type="character" w:customStyle="1" w:styleId="ZaglavljeChar">
    <w:name w:val="Zaglavlje Char"/>
    <w:basedOn w:val="Zadanifontodlomka"/>
    <w:link w:val="Zaglavlje"/>
    <w:uiPriority w:val="99"/>
    <w:rsid w:val="00F44834"/>
  </w:style>
  <w:style w:type="paragraph" w:styleId="Podnoje">
    <w:name w:val="footer"/>
    <w:basedOn w:val="Normal"/>
    <w:link w:val="PodnojeChar"/>
    <w:uiPriority w:val="99"/>
    <w:unhideWhenUsed/>
    <w:rsid w:val="00F44834"/>
    <w:pPr>
      <w:tabs>
        <w:tab w:val="center" w:pos="4703"/>
        <w:tab w:val="right" w:pos="9406"/>
      </w:tabs>
    </w:pPr>
  </w:style>
  <w:style w:type="character" w:customStyle="1" w:styleId="PodnojeChar">
    <w:name w:val="Podnožje Char"/>
    <w:basedOn w:val="Zadanifontodlomka"/>
    <w:link w:val="Podnoje"/>
    <w:uiPriority w:val="99"/>
    <w:rsid w:val="00F44834"/>
  </w:style>
  <w:style w:type="paragraph" w:styleId="Tekstbalonia">
    <w:name w:val="Balloon Text"/>
    <w:basedOn w:val="Normal"/>
    <w:link w:val="TekstbaloniaChar"/>
    <w:uiPriority w:val="99"/>
    <w:semiHidden/>
    <w:unhideWhenUsed/>
    <w:rsid w:val="0040304A"/>
    <w:rPr>
      <w:rFonts w:ascii="Times New Roman" w:hAnsi="Times New Roman"/>
      <w:sz w:val="18"/>
      <w:szCs w:val="18"/>
    </w:rPr>
  </w:style>
  <w:style w:type="character" w:customStyle="1" w:styleId="TekstbaloniaChar">
    <w:name w:val="Tekst balončića Char"/>
    <w:basedOn w:val="Zadanifontodlomka"/>
    <w:link w:val="Tekstbalonia"/>
    <w:uiPriority w:val="99"/>
    <w:semiHidden/>
    <w:rsid w:val="0040304A"/>
    <w:rPr>
      <w:rFonts w:ascii="Times New Roman" w:hAnsi="Times New Roman"/>
      <w:sz w:val="18"/>
      <w:szCs w:val="18"/>
    </w:rPr>
  </w:style>
  <w:style w:type="character" w:styleId="Hiperveza">
    <w:name w:val="Hyperlink"/>
    <w:rsid w:val="00147553"/>
    <w:rPr>
      <w:u w:val="single"/>
    </w:rPr>
  </w:style>
  <w:style w:type="paragraph" w:customStyle="1" w:styleId="BodyA">
    <w:name w:val="Body A"/>
    <w:rsid w:val="00147553"/>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character" w:styleId="Naglaeno">
    <w:name w:val="Strong"/>
    <w:qFormat/>
    <w:rsid w:val="00147553"/>
    <w:rPr>
      <w:b/>
      <w:bCs/>
    </w:rPr>
  </w:style>
  <w:style w:type="paragraph" w:customStyle="1" w:styleId="Default">
    <w:name w:val="Default"/>
    <w:rsid w:val="00147553"/>
    <w:pPr>
      <w:autoSpaceDE w:val="0"/>
      <w:autoSpaceDN w:val="0"/>
      <w:adjustRightInd w:val="0"/>
    </w:pPr>
    <w:rPr>
      <w:rFonts w:ascii="Calibri" w:eastAsia="Arial Unicode MS" w:hAnsi="Calibri" w:cs="Calibri"/>
      <w:color w:val="000000"/>
      <w:bdr w:val="nil"/>
      <w:lang w:val="en-US"/>
    </w:rPr>
  </w:style>
  <w:style w:type="paragraph" w:styleId="Odlomakpopisa">
    <w:name w:val="List Paragraph"/>
    <w:basedOn w:val="Normal"/>
    <w:uiPriority w:val="34"/>
    <w:qFormat/>
    <w:rsid w:val="00147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inf.uniri.h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niri.hr"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bilnost.h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f.uniri.h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uniri.h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2D6FA9067C441A8C1501378029E44" ma:contentTypeVersion="19" ma:contentTypeDescription="Create a new document." ma:contentTypeScope="" ma:versionID="8261316d1372a5947d690b9879d5ca64">
  <xsd:schema xmlns:xsd="http://www.w3.org/2001/XMLSchema" xmlns:xs="http://www.w3.org/2001/XMLSchema" xmlns:p="http://schemas.microsoft.com/office/2006/metadata/properties" xmlns:ns2="1eb5d2b1-24bc-4c1a-a2ef-cd624ea337c9" xmlns:ns3="07cfa6a3-cdf1-4dff-a883-5c1993ac9ed6" targetNamespace="http://schemas.microsoft.com/office/2006/metadata/properties" ma:root="true" ma:fieldsID="7be6c188e166053905aec01aa2d23fe4" ns2:_="" ns3:_="">
    <xsd:import namespace="1eb5d2b1-24bc-4c1a-a2ef-cd624ea337c9"/>
    <xsd:import namespace="07cfa6a3-cdf1-4dff-a883-5c1993ac9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5d2b1-24bc-4c1a-a2ef-cd624e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f066e4-20f1-4365-b709-2cd703fcea3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a6a3-cdf1-4dff-a883-5c1993ac9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9fe2ad-98b2-4851-88a4-8ca299512771}" ma:internalName="TaxCatchAll" ma:showField="CatchAllData" ma:web="07cfa6a3-cdf1-4dff-a883-5c1993ac9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a6a3-cdf1-4dff-a883-5c1993ac9ed6" xsi:nil="true"/>
    <lcf76f155ced4ddcb4097134ff3c332f xmlns="1eb5d2b1-24bc-4c1a-a2ef-cd624ea337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843B-A5C2-44CA-90B7-55A91CF4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5d2b1-24bc-4c1a-a2ef-cd624ea337c9"/>
    <ds:schemaRef ds:uri="07cfa6a3-cdf1-4dff-a883-5c1993ac9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23FDA-6F2F-4AD2-8F04-BA60C343A15C}">
  <ds:schemaRefs>
    <ds:schemaRef ds:uri="http://schemas.microsoft.com/office/2006/metadata/properties"/>
    <ds:schemaRef ds:uri="http://schemas.microsoft.com/office/infopath/2007/PartnerControls"/>
    <ds:schemaRef ds:uri="07cfa6a3-cdf1-4dff-a883-5c1993ac9ed6"/>
    <ds:schemaRef ds:uri="1eb5d2b1-24bc-4c1a-a2ef-cd624ea337c9"/>
  </ds:schemaRefs>
</ds:datastoreItem>
</file>

<file path=customXml/itemProps3.xml><?xml version="1.0" encoding="utf-8"?>
<ds:datastoreItem xmlns:ds="http://schemas.openxmlformats.org/officeDocument/2006/customXml" ds:itemID="{06DFB9E4-65B3-4C84-AB30-C3493E8518B6}">
  <ds:schemaRefs>
    <ds:schemaRef ds:uri="http://schemas.microsoft.com/sharepoint/v3/contenttype/forms"/>
  </ds:schemaRefs>
</ds:datastoreItem>
</file>

<file path=customXml/itemProps4.xml><?xml version="1.0" encoding="utf-8"?>
<ds:datastoreItem xmlns:ds="http://schemas.openxmlformats.org/officeDocument/2006/customXml" ds:itemID="{4D14852F-64A2-4B78-969A-6FB0DCE0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9503</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Nikol Car</cp:lastModifiedBy>
  <cp:revision>2</cp:revision>
  <cp:lastPrinted>2024-04-18T09:18:00Z</cp:lastPrinted>
  <dcterms:created xsi:type="dcterms:W3CDTF">2026-02-05T12:36:00Z</dcterms:created>
  <dcterms:modified xsi:type="dcterms:W3CDTF">2026-02-05T12:36:00Z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0x0101007002D6FA9067C441A8C1501378029E44</vt:lpwstr>
  </property>
</Properties>
</file>